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hint="eastAsia" w:ascii="Times New Roman" w:eastAsia="宋体"/>
          <w:sz w:val="20"/>
          <w:lang w:val="en-US" w:eastAsia="zh-CN"/>
        </w:rPr>
      </w:pPr>
    </w:p>
    <w:p>
      <w:pPr>
        <w:pStyle w:val="8"/>
        <w:rPr>
          <w:rFonts w:ascii="Times New Roman"/>
          <w:sz w:val="20"/>
        </w:rPr>
      </w:pPr>
    </w:p>
    <w:p>
      <w:pPr>
        <w:pStyle w:val="2"/>
        <w:spacing w:before="198" w:line="448" w:lineRule="auto"/>
        <w:ind w:left="3620" w:right="830" w:hanging="2080"/>
        <w:jc w:val="center"/>
        <w:rPr>
          <w:rFonts w:hint="eastAsia" w:eastAsia="宋体"/>
          <w:w w:val="90"/>
          <w:lang w:eastAsia="zh-CN"/>
        </w:rPr>
      </w:pPr>
      <w:bookmarkStart w:id="0" w:name="萧山区回澜初级中学外籍教师派遣服务项目编号：LLCZ-2021-001"/>
      <w:bookmarkEnd w:id="0"/>
      <w:r>
        <w:rPr>
          <w:rFonts w:hint="eastAsia"/>
          <w:w w:val="90"/>
        </w:rPr>
        <w:t>萧山区</w:t>
      </w:r>
      <w:r>
        <w:rPr>
          <w:rFonts w:hint="eastAsia"/>
          <w:w w:val="90"/>
          <w:lang w:val="en-US"/>
        </w:rPr>
        <w:t>北干</w:t>
      </w:r>
      <w:r>
        <w:rPr>
          <w:rFonts w:hint="eastAsia"/>
          <w:w w:val="90"/>
        </w:rPr>
        <w:t>初级中学外籍教师派遣服务</w:t>
      </w:r>
      <w:r>
        <w:rPr>
          <w:rFonts w:hint="eastAsia"/>
          <w:w w:val="90"/>
          <w:lang w:eastAsia="zh-CN"/>
        </w:rPr>
        <w:t>（二次）</w:t>
      </w:r>
    </w:p>
    <w:p>
      <w:pPr>
        <w:pStyle w:val="2"/>
        <w:spacing w:before="198" w:line="448" w:lineRule="auto"/>
        <w:ind w:left="3620" w:right="2380" w:hanging="1340"/>
        <w:jc w:val="center"/>
        <w:rPr>
          <w:rFonts w:hint="eastAsia" w:ascii="Times New Roman" w:eastAsia="宋体"/>
          <w:lang w:eastAsia="zh-CN"/>
        </w:rPr>
      </w:pPr>
      <w:r>
        <w:t>招标编号：</w:t>
      </w:r>
      <w:r>
        <w:rPr>
          <w:rFonts w:hint="eastAsia"/>
        </w:rPr>
        <w:t>XSDL-BGCZ-202200</w:t>
      </w:r>
      <w:r>
        <w:rPr>
          <w:rFonts w:hint="eastAsia"/>
          <w:lang w:val="en-US" w:eastAsia="zh-CN"/>
        </w:rPr>
        <w:t>2</w:t>
      </w:r>
    </w:p>
    <w:p>
      <w:pPr>
        <w:pStyle w:val="8"/>
        <w:rPr>
          <w:rFonts w:ascii="Times New Roman"/>
          <w:b/>
          <w:sz w:val="34"/>
        </w:rPr>
      </w:pPr>
    </w:p>
    <w:p>
      <w:pPr>
        <w:pStyle w:val="8"/>
        <w:spacing w:before="1"/>
        <w:rPr>
          <w:rFonts w:ascii="Times New Roman"/>
          <w:b/>
          <w:sz w:val="50"/>
        </w:rPr>
      </w:pPr>
    </w:p>
    <w:p>
      <w:pPr>
        <w:spacing w:line="206" w:lineRule="auto"/>
        <w:ind w:left="4576" w:right="5068"/>
        <w:jc w:val="both"/>
        <w:rPr>
          <w:b/>
          <w:sz w:val="92"/>
        </w:rPr>
      </w:pPr>
      <w:r>
        <w:rPr>
          <w:b/>
          <w:w w:val="90"/>
          <w:sz w:val="92"/>
        </w:rPr>
        <w:t>公开</w:t>
      </w:r>
      <w:r>
        <w:rPr>
          <w:rFonts w:hint="eastAsia"/>
          <w:b/>
          <w:w w:val="90"/>
          <w:sz w:val="92"/>
        </w:rPr>
        <w:t>招</w:t>
      </w:r>
      <w:r>
        <w:rPr>
          <w:b/>
          <w:w w:val="90"/>
          <w:sz w:val="92"/>
        </w:rPr>
        <w:t>标文件</w:t>
      </w:r>
    </w:p>
    <w:p>
      <w:pPr>
        <w:pStyle w:val="8"/>
        <w:spacing w:before="7"/>
        <w:rPr>
          <w:b/>
          <w:sz w:val="109"/>
        </w:rPr>
      </w:pPr>
    </w:p>
    <w:p>
      <w:pPr>
        <w:pStyle w:val="2"/>
        <w:ind w:left="831"/>
      </w:pPr>
      <w:bookmarkStart w:id="1" w:name="交易发起人(加盖公章):_萧山区回澜初级中学"/>
      <w:bookmarkEnd w:id="1"/>
      <w:r>
        <w:rPr>
          <w:rFonts w:hint="eastAsia"/>
        </w:rPr>
        <w:t>采购</w:t>
      </w:r>
      <w:r>
        <w:t>人</w:t>
      </w:r>
      <w:r>
        <w:rPr>
          <w:rFonts w:ascii="Times New Roman" w:eastAsia="Times New Roman"/>
        </w:rPr>
        <w:t>(</w:t>
      </w:r>
      <w:r>
        <w:t>加盖公章</w:t>
      </w:r>
      <w:r>
        <w:rPr>
          <w:rFonts w:ascii="Times New Roman" w:eastAsia="Times New Roman"/>
        </w:rPr>
        <w:t xml:space="preserve">): </w:t>
      </w:r>
      <w:r>
        <w:t>萧山区</w:t>
      </w:r>
      <w:r>
        <w:rPr>
          <w:rFonts w:hint="eastAsia"/>
          <w:lang w:val="en-US"/>
        </w:rPr>
        <w:t>北干</w:t>
      </w:r>
      <w:r>
        <w:t>初级中学</w:t>
      </w:r>
    </w:p>
    <w:p>
      <w:pPr>
        <w:spacing w:before="164"/>
        <w:ind w:left="831"/>
        <w:rPr>
          <w:b/>
          <w:sz w:val="30"/>
        </w:rPr>
      </w:pPr>
      <w:r>
        <w:rPr>
          <w:b/>
          <w:sz w:val="32"/>
        </w:rPr>
        <w:t>代理机构（加盖公章）</w:t>
      </w:r>
      <w:r>
        <w:rPr>
          <w:rFonts w:ascii="Times New Roman" w:eastAsia="Times New Roman"/>
          <w:b/>
          <w:sz w:val="32"/>
        </w:rPr>
        <w:t>:</w:t>
      </w:r>
      <w:r>
        <w:rPr>
          <w:rFonts w:hint="eastAsia"/>
          <w:b/>
          <w:sz w:val="30"/>
        </w:rPr>
        <w:t>浙江</w:t>
      </w:r>
      <w:r>
        <w:rPr>
          <w:b/>
          <w:sz w:val="30"/>
        </w:rPr>
        <w:t>翔实建设项目管理有限公司</w:t>
      </w:r>
    </w:p>
    <w:p>
      <w:pPr>
        <w:pStyle w:val="8"/>
        <w:spacing w:before="11"/>
        <w:rPr>
          <w:b/>
          <w:sz w:val="23"/>
        </w:rPr>
      </w:pPr>
    </w:p>
    <w:p>
      <w:pPr>
        <w:ind w:right="448"/>
        <w:jc w:val="center"/>
        <w:rPr>
          <w:b/>
          <w:sz w:val="30"/>
        </w:rPr>
      </w:pPr>
      <w:r>
        <w:rPr>
          <w:b/>
          <w:sz w:val="30"/>
        </w:rPr>
        <w:t>二</w:t>
      </w:r>
      <w:r>
        <w:rPr>
          <w:rFonts w:ascii="Times New Roman" w:hAnsi="Times New Roman" w:eastAsia="Times New Roman"/>
          <w:b/>
          <w:sz w:val="30"/>
        </w:rPr>
        <w:t>○</w:t>
      </w:r>
      <w:r>
        <w:rPr>
          <w:b/>
          <w:sz w:val="30"/>
        </w:rPr>
        <w:t>二</w:t>
      </w:r>
      <w:r>
        <w:rPr>
          <w:rFonts w:hint="eastAsia"/>
          <w:b/>
          <w:sz w:val="30"/>
        </w:rPr>
        <w:t>二</w:t>
      </w:r>
      <w:r>
        <w:rPr>
          <w:b/>
          <w:sz w:val="30"/>
        </w:rPr>
        <w:t>年</w:t>
      </w:r>
      <w:r>
        <w:rPr>
          <w:rFonts w:hint="eastAsia"/>
          <w:b/>
          <w:sz w:val="30"/>
          <w:lang w:val="en-US"/>
        </w:rPr>
        <w:t>四</w:t>
      </w:r>
      <w:r>
        <w:rPr>
          <w:b/>
          <w:sz w:val="30"/>
        </w:rPr>
        <w:t>月</w:t>
      </w:r>
      <w:r>
        <w:rPr>
          <w:rFonts w:hint="eastAsia"/>
          <w:b/>
          <w:sz w:val="30"/>
          <w:lang w:val="en-US" w:eastAsia="zh-CN"/>
        </w:rPr>
        <w:t>二十六</w:t>
      </w:r>
      <w:r>
        <w:rPr>
          <w:b/>
          <w:sz w:val="30"/>
        </w:rPr>
        <w:t>日</w:t>
      </w:r>
    </w:p>
    <w:p>
      <w:pPr>
        <w:jc w:val="center"/>
        <w:rPr>
          <w:sz w:val="30"/>
        </w:rPr>
        <w:sectPr>
          <w:headerReference r:id="rId3" w:type="default"/>
          <w:type w:val="continuous"/>
          <w:pgSz w:w="11910" w:h="16840"/>
          <w:pgMar w:top="1260" w:right="420" w:bottom="280" w:left="980" w:header="887" w:footer="720" w:gutter="0"/>
          <w:cols w:space="720" w:num="1"/>
        </w:sectPr>
      </w:pPr>
    </w:p>
    <w:p>
      <w:pPr>
        <w:pStyle w:val="2"/>
        <w:tabs>
          <w:tab w:val="left" w:pos="643"/>
        </w:tabs>
        <w:spacing w:before="132"/>
        <w:ind w:right="427"/>
        <w:jc w:val="center"/>
      </w:pPr>
      <w:bookmarkStart w:id="2" w:name="目录"/>
      <w:bookmarkEnd w:id="2"/>
      <w:r>
        <w:t>目</w:t>
      </w:r>
      <w:r>
        <w:tab/>
      </w:r>
      <w:r>
        <w:t>录</w:t>
      </w:r>
    </w:p>
    <w:p>
      <w:pPr>
        <w:pStyle w:val="8"/>
        <w:spacing w:before="12"/>
        <w:rPr>
          <w:b/>
          <w:sz w:val="27"/>
        </w:rPr>
      </w:pPr>
    </w:p>
    <w:p>
      <w:pPr>
        <w:pStyle w:val="8"/>
        <w:spacing w:before="66" w:line="369" w:lineRule="auto"/>
        <w:ind w:left="438" w:right="7664"/>
        <w:jc w:val="both"/>
        <w:rPr>
          <w:spacing w:val="-2"/>
        </w:rPr>
      </w:pPr>
      <w:r>
        <w:rPr>
          <w:spacing w:val="-2"/>
        </w:rPr>
        <w:t xml:space="preserve">第一部分 </w:t>
      </w:r>
      <w:r>
        <w:rPr>
          <w:rFonts w:hint="eastAsia"/>
          <w:spacing w:val="-2"/>
        </w:rPr>
        <w:t>招</w:t>
      </w:r>
      <w:r>
        <w:rPr>
          <w:spacing w:val="-2"/>
        </w:rPr>
        <w:t>标公告</w:t>
      </w:r>
    </w:p>
    <w:p>
      <w:pPr>
        <w:pStyle w:val="8"/>
        <w:spacing w:before="66" w:line="369" w:lineRule="auto"/>
        <w:ind w:left="438" w:right="7664"/>
        <w:jc w:val="both"/>
      </w:pPr>
      <w:r>
        <w:rPr>
          <w:rFonts w:hint="eastAsia"/>
          <w:spacing w:val="-2"/>
        </w:rPr>
        <w:t>第</w:t>
      </w:r>
      <w:r>
        <w:t xml:space="preserve">二部分 </w:t>
      </w:r>
      <w:r>
        <w:rPr>
          <w:rFonts w:hint="eastAsia"/>
        </w:rPr>
        <w:t>投</w:t>
      </w:r>
      <w:r>
        <w:t>标人须知</w:t>
      </w:r>
    </w:p>
    <w:p>
      <w:pPr>
        <w:pStyle w:val="8"/>
        <w:spacing w:line="369" w:lineRule="auto"/>
        <w:ind w:left="438" w:right="6702"/>
        <w:jc w:val="both"/>
      </w:pPr>
      <w:r>
        <w:rPr>
          <w:spacing w:val="7"/>
        </w:rPr>
        <w:t xml:space="preserve">第一节 </w:t>
      </w:r>
      <w:r>
        <w:rPr>
          <w:rFonts w:hint="eastAsia"/>
          <w:spacing w:val="7"/>
        </w:rPr>
        <w:t>投</w:t>
      </w:r>
      <w:r>
        <w:rPr>
          <w:spacing w:val="7"/>
        </w:rPr>
        <w:t xml:space="preserve">标人须知之通用条款第二节 </w:t>
      </w:r>
      <w:r>
        <w:rPr>
          <w:rFonts w:hint="eastAsia"/>
          <w:spacing w:val="7"/>
        </w:rPr>
        <w:t>投</w:t>
      </w:r>
      <w:r>
        <w:rPr>
          <w:spacing w:val="7"/>
        </w:rPr>
        <w:t>标人须知之专用条款</w:t>
      </w:r>
      <w:r>
        <w:t xml:space="preserve">第三部分 </w:t>
      </w:r>
      <w:r>
        <w:rPr>
          <w:rFonts w:hint="eastAsia"/>
        </w:rPr>
        <w:t>采购</w:t>
      </w:r>
      <w:r>
        <w:t>需求</w:t>
      </w:r>
    </w:p>
    <w:p>
      <w:pPr>
        <w:pStyle w:val="8"/>
        <w:spacing w:line="369" w:lineRule="auto"/>
        <w:ind w:left="438" w:right="7422"/>
        <w:jc w:val="both"/>
      </w:pPr>
      <w:r>
        <w:rPr>
          <w:spacing w:val="9"/>
        </w:rPr>
        <w:t>第四部分</w:t>
      </w:r>
      <w:r>
        <w:rPr>
          <w:rFonts w:hint="eastAsia"/>
          <w:spacing w:val="9"/>
        </w:rPr>
        <w:t xml:space="preserve"> 投</w:t>
      </w:r>
      <w:r>
        <w:rPr>
          <w:spacing w:val="9"/>
        </w:rPr>
        <w:t>标文件格式</w:t>
      </w:r>
      <w:r>
        <w:t>第五部分 合同范本</w:t>
      </w:r>
    </w:p>
    <w:p>
      <w:pPr>
        <w:spacing w:line="369" w:lineRule="auto"/>
        <w:jc w:val="both"/>
        <w:sectPr>
          <w:footerReference r:id="rId4" w:type="default"/>
          <w:pgSz w:w="11910" w:h="16840"/>
          <w:pgMar w:top="1260" w:right="420" w:bottom="1220" w:left="980" w:header="887" w:footer="1039" w:gutter="0"/>
          <w:pgNumType w:start="1"/>
          <w:cols w:space="720" w:num="1"/>
        </w:sectPr>
      </w:pPr>
    </w:p>
    <w:p>
      <w:pPr>
        <w:pStyle w:val="8"/>
        <w:spacing w:before="7"/>
        <w:rPr>
          <w:sz w:val="19"/>
        </w:rPr>
      </w:pPr>
    </w:p>
    <w:p>
      <w:pPr>
        <w:pStyle w:val="2"/>
        <w:tabs>
          <w:tab w:val="left" w:pos="1605"/>
        </w:tabs>
        <w:spacing w:before="55"/>
        <w:ind w:right="425"/>
        <w:jc w:val="center"/>
      </w:pPr>
      <w:bookmarkStart w:id="3" w:name="第一部分交易公告"/>
      <w:bookmarkEnd w:id="3"/>
      <w:r>
        <w:t>第一部分</w:t>
      </w:r>
      <w:r>
        <w:tab/>
      </w:r>
      <w:r>
        <w:rPr>
          <w:rFonts w:hint="eastAsia"/>
        </w:rPr>
        <w:t>招</w:t>
      </w:r>
      <w:r>
        <w:t>标公告</w:t>
      </w:r>
    </w:p>
    <w:p/>
    <w:p>
      <w:pPr>
        <w:pStyle w:val="8"/>
        <w:spacing w:before="42" w:line="360" w:lineRule="auto"/>
        <w:ind w:left="438" w:right="863" w:firstLine="480"/>
        <w:jc w:val="both"/>
        <w:rPr>
          <w:rFonts w:hint="eastAsia" w:ascii="宋体" w:hAnsi="宋体" w:eastAsia="宋体" w:cs="宋体"/>
          <w:spacing w:val="0"/>
        </w:rPr>
      </w:pPr>
      <w:r>
        <w:rPr>
          <w:rFonts w:hint="eastAsia" w:ascii="宋体" w:hAnsi="宋体" w:eastAsia="宋体" w:cs="宋体"/>
          <w:spacing w:val="0"/>
        </w:rPr>
        <w:t>参照《中华人民共和国政府采购法》等有关规定，</w:t>
      </w:r>
      <w:r>
        <w:rPr>
          <w:rFonts w:hint="eastAsia" w:ascii="宋体" w:hAnsi="宋体" w:eastAsia="宋体" w:cs="宋体"/>
          <w:spacing w:val="0"/>
          <w:u w:val="single"/>
        </w:rPr>
        <w:t>浙江翔实建设项目管理有限公司</w:t>
      </w:r>
      <w:r>
        <w:rPr>
          <w:rFonts w:hint="eastAsia" w:ascii="宋体" w:hAnsi="宋体" w:eastAsia="宋体" w:cs="宋体"/>
          <w:spacing w:val="0"/>
        </w:rPr>
        <w:t>受</w:t>
      </w:r>
      <w:r>
        <w:rPr>
          <w:rFonts w:hint="eastAsia" w:ascii="宋体" w:hAnsi="宋体" w:eastAsia="宋体" w:cs="宋体"/>
          <w:spacing w:val="0"/>
          <w:u w:val="single"/>
        </w:rPr>
        <w:t>萧山区</w:t>
      </w:r>
      <w:r>
        <w:rPr>
          <w:rFonts w:hint="eastAsia" w:ascii="宋体" w:hAnsi="宋体" w:eastAsia="宋体" w:cs="宋体"/>
          <w:spacing w:val="0"/>
          <w:u w:val="single"/>
          <w:lang w:val="en-US"/>
        </w:rPr>
        <w:t>北干</w:t>
      </w:r>
      <w:r>
        <w:rPr>
          <w:rFonts w:hint="eastAsia" w:ascii="宋体" w:hAnsi="宋体" w:eastAsia="宋体" w:cs="宋体"/>
          <w:spacing w:val="0"/>
          <w:u w:val="single"/>
        </w:rPr>
        <w:t>初级</w:t>
      </w:r>
      <w:r>
        <w:rPr>
          <w:rFonts w:hint="eastAsia" w:ascii="宋体" w:hAnsi="宋体" w:eastAsia="宋体" w:cs="宋体"/>
          <w:spacing w:val="0"/>
        </w:rPr>
        <w:t>中学的委托，对</w:t>
      </w:r>
      <w:r>
        <w:rPr>
          <w:rFonts w:hint="eastAsia" w:ascii="宋体" w:hAnsi="宋体" w:eastAsia="宋体" w:cs="宋体"/>
          <w:spacing w:val="0"/>
          <w:u w:val="single"/>
        </w:rPr>
        <w:t>萧山区</w:t>
      </w:r>
      <w:r>
        <w:rPr>
          <w:rFonts w:hint="eastAsia" w:ascii="宋体" w:hAnsi="宋体" w:eastAsia="宋体" w:cs="宋体"/>
          <w:spacing w:val="0"/>
          <w:u w:val="single"/>
          <w:lang w:val="en-US"/>
        </w:rPr>
        <w:t>北干</w:t>
      </w:r>
      <w:r>
        <w:rPr>
          <w:rFonts w:hint="eastAsia" w:ascii="宋体" w:hAnsi="宋体" w:eastAsia="宋体" w:cs="宋体"/>
          <w:spacing w:val="0"/>
          <w:u w:val="single"/>
        </w:rPr>
        <w:t>初级中学外籍教师派遣服务</w:t>
      </w:r>
      <w:r>
        <w:rPr>
          <w:rFonts w:hint="eastAsia" w:cs="宋体"/>
          <w:spacing w:val="0"/>
          <w:u w:val="single"/>
          <w:lang w:eastAsia="zh-CN"/>
        </w:rPr>
        <w:t>（二次）</w:t>
      </w:r>
      <w:r>
        <w:rPr>
          <w:rFonts w:hint="eastAsia" w:ascii="宋体" w:hAnsi="宋体" w:eastAsia="宋体" w:cs="宋体"/>
          <w:spacing w:val="0"/>
        </w:rPr>
        <w:t>进行公开招标，欢迎国内合格的投标人前来投标。</w:t>
      </w:r>
    </w:p>
    <w:p>
      <w:pPr>
        <w:pStyle w:val="6"/>
        <w:spacing w:before="66" w:line="360" w:lineRule="auto"/>
        <w:ind w:left="918" w:right="2997"/>
        <w:rPr>
          <w:rFonts w:hint="eastAsia" w:ascii="宋体" w:hAnsi="宋体" w:eastAsia="宋体" w:cs="宋体"/>
          <w:spacing w:val="0"/>
          <w:w w:val="90"/>
          <w:lang w:eastAsia="zh-CN"/>
        </w:rPr>
      </w:pPr>
      <w:bookmarkStart w:id="4" w:name="一、项目编号：LLCZ-2021-001_二、交易方式：公开竞争"/>
      <w:bookmarkEnd w:id="4"/>
      <w:r>
        <w:rPr>
          <w:rFonts w:hint="eastAsia" w:ascii="宋体" w:hAnsi="宋体" w:eastAsia="宋体" w:cs="宋体"/>
          <w:spacing w:val="0"/>
          <w:w w:val="90"/>
        </w:rPr>
        <w:t>一、招标编号：XSDL-BGCZ-202200</w:t>
      </w:r>
      <w:r>
        <w:rPr>
          <w:rFonts w:hint="eastAsia" w:cs="宋体"/>
          <w:spacing w:val="0"/>
          <w:w w:val="90"/>
          <w:lang w:val="en-US" w:eastAsia="zh-CN"/>
        </w:rPr>
        <w:t>2</w:t>
      </w:r>
      <w:bookmarkStart w:id="82" w:name="_GoBack"/>
      <w:bookmarkEnd w:id="82"/>
    </w:p>
    <w:p>
      <w:pPr>
        <w:pStyle w:val="6"/>
        <w:spacing w:before="66" w:line="360" w:lineRule="auto"/>
        <w:ind w:left="918" w:right="6416"/>
        <w:rPr>
          <w:rFonts w:hint="eastAsia" w:ascii="宋体" w:hAnsi="宋体" w:eastAsia="宋体" w:cs="宋体"/>
          <w:spacing w:val="0"/>
        </w:rPr>
      </w:pPr>
      <w:r>
        <w:rPr>
          <w:rFonts w:hint="eastAsia" w:ascii="宋体" w:hAnsi="宋体" w:eastAsia="宋体" w:cs="宋体"/>
          <w:spacing w:val="0"/>
        </w:rPr>
        <w:t>二、招标方式：公开招标</w:t>
      </w:r>
    </w:p>
    <w:p>
      <w:pPr>
        <w:pStyle w:val="8"/>
        <w:spacing w:before="1" w:line="360" w:lineRule="auto"/>
        <w:ind w:left="438" w:right="853" w:firstLine="480"/>
        <w:rPr>
          <w:rFonts w:hint="eastAsia" w:ascii="宋体" w:hAnsi="宋体" w:eastAsia="宋体" w:cs="宋体"/>
          <w:spacing w:val="0"/>
        </w:rPr>
      </w:pPr>
      <w:r>
        <w:rPr>
          <w:rFonts w:hint="eastAsia" w:ascii="宋体" w:hAnsi="宋体" w:eastAsia="宋体" w:cs="宋体"/>
          <w:b/>
          <w:spacing w:val="0"/>
        </w:rPr>
        <w:t>三．项目概况：</w:t>
      </w:r>
      <w:r>
        <w:rPr>
          <w:rFonts w:hint="eastAsia" w:ascii="宋体" w:hAnsi="宋体" w:eastAsia="宋体" w:cs="宋体"/>
          <w:spacing w:val="0"/>
          <w:lang w:val="en-US"/>
        </w:rPr>
        <w:t>学校课程建设需要</w:t>
      </w:r>
      <w:r>
        <w:rPr>
          <w:rFonts w:hint="eastAsia" w:ascii="宋体" w:hAnsi="宋体" w:eastAsia="宋体" w:cs="宋体"/>
          <w:spacing w:val="0"/>
        </w:rPr>
        <w:t>，</w:t>
      </w:r>
      <w:r>
        <w:rPr>
          <w:rFonts w:hint="eastAsia" w:ascii="宋体" w:hAnsi="宋体" w:eastAsia="宋体" w:cs="宋体"/>
          <w:spacing w:val="0"/>
          <w:lang w:val="en-US"/>
        </w:rPr>
        <w:t>开设足球外教课，聘请一位足球外籍教练，</w:t>
      </w:r>
      <w:r>
        <w:rPr>
          <w:rFonts w:hint="eastAsia" w:ascii="宋体" w:hAnsi="宋体" w:eastAsia="宋体" w:cs="宋体"/>
          <w:spacing w:val="0"/>
        </w:rPr>
        <w:t>详见采购需求；项目预算：20万元， 最高限价：20万元。</w:t>
      </w:r>
    </w:p>
    <w:p>
      <w:pPr>
        <w:pStyle w:val="6"/>
        <w:spacing w:before="0" w:line="360" w:lineRule="auto"/>
        <w:ind w:left="918"/>
        <w:rPr>
          <w:rFonts w:hint="eastAsia" w:ascii="宋体" w:hAnsi="宋体" w:eastAsia="宋体" w:cs="宋体"/>
          <w:spacing w:val="0"/>
        </w:rPr>
      </w:pPr>
      <w:bookmarkStart w:id="5" w:name="四、供应商资格要求:"/>
      <w:bookmarkEnd w:id="5"/>
      <w:r>
        <w:rPr>
          <w:rFonts w:hint="eastAsia" w:ascii="宋体" w:hAnsi="宋体" w:eastAsia="宋体" w:cs="宋体"/>
          <w:spacing w:val="0"/>
        </w:rPr>
        <w:t>四、投标人资格要求:</w:t>
      </w:r>
    </w:p>
    <w:p>
      <w:pPr>
        <w:pStyle w:val="8"/>
        <w:spacing w:line="360" w:lineRule="auto"/>
        <w:ind w:left="438" w:right="1024" w:firstLine="480"/>
        <w:rPr>
          <w:rFonts w:hint="eastAsia" w:ascii="宋体" w:hAnsi="宋体" w:eastAsia="宋体" w:cs="宋体"/>
          <w:spacing w:val="0"/>
        </w:rPr>
      </w:pPr>
      <w:r>
        <w:rPr>
          <w:rFonts w:hint="eastAsia" w:ascii="宋体" w:hAnsi="宋体" w:eastAsia="宋体" w:cs="宋体"/>
          <w:spacing w:val="0"/>
        </w:rPr>
        <w:t>1、符合政府采购法第二十二条规定或符合浙财采监【2013】24 号《关于规范政府采购供应商资格设定及资格审查的通知》第六条规定。</w:t>
      </w:r>
    </w:p>
    <w:p>
      <w:pPr>
        <w:pStyle w:val="8"/>
        <w:spacing w:line="360" w:lineRule="auto"/>
        <w:ind w:left="438" w:right="752" w:firstLine="480"/>
        <w:rPr>
          <w:rFonts w:hint="eastAsia" w:ascii="宋体" w:hAnsi="宋体" w:eastAsia="宋体" w:cs="宋体"/>
          <w:spacing w:val="0"/>
        </w:rPr>
      </w:pPr>
      <w:r>
        <w:rPr>
          <w:rFonts w:hint="eastAsia" w:ascii="宋体" w:hAnsi="宋体" w:eastAsia="宋体" w:cs="宋体"/>
          <w:spacing w:val="0"/>
        </w:rPr>
        <w:t>2、未被“信用中国”（</w:t>
      </w:r>
      <w:r>
        <w:rPr>
          <w:rFonts w:hint="eastAsia" w:ascii="宋体" w:hAnsi="宋体" w:eastAsia="宋体" w:cs="宋体"/>
          <w:spacing w:val="0"/>
        </w:rPr>
        <w:fldChar w:fldCharType="begin"/>
      </w:r>
      <w:r>
        <w:rPr>
          <w:rFonts w:hint="eastAsia" w:ascii="宋体" w:hAnsi="宋体" w:eastAsia="宋体" w:cs="宋体"/>
          <w:spacing w:val="0"/>
        </w:rPr>
        <w:instrText xml:space="preserve"> HYPERLINK "http://www.creditchina.gov.cn/" </w:instrText>
      </w:r>
      <w:r>
        <w:rPr>
          <w:rFonts w:hint="eastAsia" w:ascii="宋体" w:hAnsi="宋体" w:eastAsia="宋体" w:cs="宋体"/>
          <w:spacing w:val="0"/>
        </w:rPr>
        <w:fldChar w:fldCharType="separate"/>
      </w:r>
      <w:r>
        <w:rPr>
          <w:rFonts w:hint="eastAsia" w:ascii="宋体" w:hAnsi="宋体" w:eastAsia="宋体" w:cs="宋体"/>
          <w:spacing w:val="0"/>
        </w:rPr>
        <w:t>www.creditchina.gov.cn</w:t>
      </w:r>
      <w:r>
        <w:rPr>
          <w:rFonts w:hint="eastAsia" w:ascii="宋体" w:hAnsi="宋体" w:eastAsia="宋体" w:cs="宋体"/>
          <w:spacing w:val="0"/>
        </w:rPr>
        <w:fldChar w:fldCharType="end"/>
      </w:r>
      <w:r>
        <w:rPr>
          <w:rFonts w:hint="eastAsia" w:ascii="宋体" w:hAnsi="宋体" w:eastAsia="宋体" w:cs="宋体"/>
          <w:spacing w:val="0"/>
        </w:rPr>
        <w:t>）、中国政府采购网（</w:t>
      </w:r>
      <w:r>
        <w:rPr>
          <w:rFonts w:hint="eastAsia" w:ascii="宋体" w:hAnsi="宋体" w:eastAsia="宋体" w:cs="宋体"/>
          <w:spacing w:val="0"/>
        </w:rPr>
        <w:fldChar w:fldCharType="begin"/>
      </w:r>
      <w:r>
        <w:rPr>
          <w:rFonts w:hint="eastAsia" w:ascii="宋体" w:hAnsi="宋体" w:eastAsia="宋体" w:cs="宋体"/>
          <w:spacing w:val="0"/>
        </w:rPr>
        <w:instrText xml:space="preserve"> HYPERLINK "http://www.ccgp.gov.cn/" </w:instrText>
      </w:r>
      <w:r>
        <w:rPr>
          <w:rFonts w:hint="eastAsia" w:ascii="宋体" w:hAnsi="宋体" w:eastAsia="宋体" w:cs="宋体"/>
          <w:spacing w:val="0"/>
        </w:rPr>
        <w:fldChar w:fldCharType="separate"/>
      </w:r>
      <w:r>
        <w:rPr>
          <w:rFonts w:hint="eastAsia" w:ascii="宋体" w:hAnsi="宋体" w:eastAsia="宋体" w:cs="宋体"/>
          <w:spacing w:val="0"/>
        </w:rPr>
        <w:t>www.ccgp.gov.cn</w:t>
      </w:r>
      <w:r>
        <w:rPr>
          <w:rFonts w:hint="eastAsia" w:ascii="宋体" w:hAnsi="宋体" w:eastAsia="宋体" w:cs="宋体"/>
          <w:spacing w:val="0"/>
        </w:rPr>
        <w:fldChar w:fldCharType="end"/>
      </w:r>
      <w:r>
        <w:rPr>
          <w:rFonts w:hint="eastAsia" w:ascii="宋体" w:hAnsi="宋体" w:eastAsia="宋体" w:cs="宋体"/>
          <w:spacing w:val="0"/>
        </w:rPr>
        <w:t>） 列入失信被执行人、重大税收违法案件当事人名单、政府采购严重违法失信行为记录名单 。</w:t>
      </w:r>
    </w:p>
    <w:p>
      <w:pPr>
        <w:pStyle w:val="8"/>
        <w:spacing w:line="360" w:lineRule="auto"/>
        <w:ind w:left="918"/>
        <w:rPr>
          <w:rFonts w:hint="eastAsia" w:ascii="宋体" w:hAnsi="宋体" w:eastAsia="宋体" w:cs="宋体"/>
          <w:spacing w:val="0"/>
        </w:rPr>
      </w:pPr>
      <w:r>
        <w:rPr>
          <w:rFonts w:hint="eastAsia" w:ascii="宋体" w:hAnsi="宋体" w:eastAsia="宋体" w:cs="宋体"/>
          <w:spacing w:val="0"/>
        </w:rPr>
        <w:t>3、具有劳务派遣经营许可证、人力资源服务许可证。</w:t>
      </w:r>
    </w:p>
    <w:p>
      <w:pPr>
        <w:pStyle w:val="8"/>
        <w:spacing w:line="360" w:lineRule="auto"/>
        <w:ind w:left="903" w:right="2749" w:firstLine="14"/>
        <w:rPr>
          <w:rFonts w:hint="eastAsia" w:ascii="宋体" w:hAnsi="宋体" w:eastAsia="宋体" w:cs="宋体"/>
          <w:b/>
          <w:spacing w:val="0"/>
        </w:rPr>
      </w:pPr>
      <w:r>
        <w:rPr>
          <w:rFonts w:hint="eastAsia" w:ascii="宋体" w:hAnsi="宋体" w:eastAsia="宋体" w:cs="宋体"/>
          <w:spacing w:val="0"/>
        </w:rPr>
        <w:t>4、本项目不接受联合体参与（潜在供应商能独立完成本项目）。</w:t>
      </w:r>
      <w:r>
        <w:rPr>
          <w:rFonts w:hint="eastAsia" w:ascii="宋体" w:hAnsi="宋体" w:eastAsia="宋体" w:cs="宋体"/>
          <w:b/>
          <w:spacing w:val="0"/>
        </w:rPr>
        <w:t>五、报名:</w:t>
      </w:r>
    </w:p>
    <w:p>
      <w:pPr>
        <w:pStyle w:val="8"/>
        <w:spacing w:line="360" w:lineRule="auto"/>
        <w:ind w:left="918"/>
        <w:rPr>
          <w:rFonts w:hint="eastAsia" w:ascii="宋体" w:hAnsi="宋体" w:eastAsia="宋体" w:cs="宋体"/>
          <w:spacing w:val="0"/>
        </w:rPr>
      </w:pPr>
      <w:r>
        <w:rPr>
          <w:rFonts w:hint="eastAsia" w:ascii="宋体" w:hAnsi="宋体" w:eastAsia="宋体" w:cs="宋体"/>
          <w:spacing w:val="0"/>
        </w:rPr>
        <w:t>1、报名时间：2022 年</w:t>
      </w:r>
      <w:r>
        <w:rPr>
          <w:rFonts w:hint="eastAsia" w:cs="宋体"/>
          <w:spacing w:val="0"/>
          <w:lang w:val="en-US" w:eastAsia="zh-CN"/>
        </w:rPr>
        <w:t>5</w:t>
      </w:r>
      <w:r>
        <w:rPr>
          <w:rFonts w:hint="eastAsia" w:ascii="宋体" w:hAnsi="宋体" w:eastAsia="宋体" w:cs="宋体"/>
          <w:spacing w:val="0"/>
        </w:rPr>
        <w:t>月</w:t>
      </w:r>
      <w:r>
        <w:rPr>
          <w:rFonts w:hint="eastAsia" w:cs="宋体"/>
          <w:spacing w:val="0"/>
          <w:lang w:val="en-US" w:eastAsia="zh-CN"/>
        </w:rPr>
        <w:t>5</w:t>
      </w:r>
      <w:r>
        <w:rPr>
          <w:rFonts w:hint="eastAsia" w:ascii="宋体" w:hAnsi="宋体" w:eastAsia="宋体" w:cs="宋体"/>
          <w:spacing w:val="0"/>
          <w:lang w:val="en-US"/>
        </w:rPr>
        <w:t xml:space="preserve"> </w:t>
      </w:r>
      <w:r>
        <w:rPr>
          <w:rFonts w:hint="eastAsia" w:ascii="宋体" w:hAnsi="宋体" w:eastAsia="宋体" w:cs="宋体"/>
          <w:spacing w:val="0"/>
        </w:rPr>
        <w:t>日-2022 年</w:t>
      </w:r>
      <w:r>
        <w:rPr>
          <w:rFonts w:hint="eastAsia" w:cs="宋体"/>
          <w:spacing w:val="0"/>
          <w:lang w:val="en-US" w:eastAsia="zh-CN"/>
        </w:rPr>
        <w:t>5</w:t>
      </w:r>
      <w:r>
        <w:rPr>
          <w:rFonts w:hint="eastAsia" w:ascii="宋体" w:hAnsi="宋体" w:eastAsia="宋体" w:cs="宋体"/>
          <w:spacing w:val="0"/>
        </w:rPr>
        <w:t>月</w:t>
      </w:r>
      <w:r>
        <w:rPr>
          <w:rFonts w:hint="eastAsia" w:cs="宋体"/>
          <w:spacing w:val="0"/>
          <w:lang w:val="en-US" w:eastAsia="zh-CN"/>
        </w:rPr>
        <w:t>6</w:t>
      </w:r>
      <w:r>
        <w:rPr>
          <w:rFonts w:hint="eastAsia" w:ascii="宋体" w:hAnsi="宋体" w:eastAsia="宋体" w:cs="宋体"/>
          <w:spacing w:val="0"/>
        </w:rPr>
        <w:t>日（工作时间 9:00—16:00）</w:t>
      </w:r>
    </w:p>
    <w:p>
      <w:pPr>
        <w:pStyle w:val="8"/>
        <w:spacing w:line="360" w:lineRule="auto"/>
        <w:ind w:firstLine="960" w:firstLineChars="400"/>
        <w:rPr>
          <w:rFonts w:hint="eastAsia" w:ascii="宋体" w:hAnsi="宋体" w:eastAsia="宋体" w:cs="宋体"/>
          <w:spacing w:val="0"/>
        </w:rPr>
      </w:pPr>
      <w:r>
        <w:rPr>
          <w:rFonts w:hint="eastAsia" w:ascii="宋体" w:hAnsi="宋体" w:eastAsia="宋体" w:cs="宋体"/>
          <w:spacing w:val="0"/>
        </w:rPr>
        <w:t>2、报名及领取招标文件地点：杭州市萧山区汇通大厦4号楼6楼招标代理部。联系人：</w:t>
      </w:r>
      <w:r>
        <w:rPr>
          <w:rFonts w:hint="eastAsia" w:ascii="宋体" w:hAnsi="宋体" w:eastAsia="宋体" w:cs="宋体"/>
          <w:spacing w:val="0"/>
          <w:u w:val="single"/>
          <w:lang w:val="en-US" w:eastAsia="zh-CN"/>
        </w:rPr>
        <w:t>韩超超</w:t>
      </w:r>
      <w:r>
        <w:rPr>
          <w:rFonts w:hint="eastAsia" w:ascii="宋体" w:hAnsi="宋体" w:eastAsia="宋体" w:cs="宋体"/>
          <w:spacing w:val="0"/>
        </w:rPr>
        <w:t>，电话：</w:t>
      </w:r>
      <w:r>
        <w:rPr>
          <w:rFonts w:hint="eastAsia" w:ascii="宋体" w:hAnsi="宋体" w:eastAsia="宋体" w:cs="宋体"/>
          <w:spacing w:val="0"/>
          <w:u w:val="single"/>
          <w:lang w:val="en-US"/>
        </w:rPr>
        <w:t>13362195137</w:t>
      </w:r>
      <w:r>
        <w:rPr>
          <w:rFonts w:hint="eastAsia" w:ascii="宋体" w:hAnsi="宋体" w:eastAsia="宋体" w:cs="宋体"/>
          <w:spacing w:val="0"/>
          <w:u w:val="single"/>
        </w:rPr>
        <w:t>。</w:t>
      </w:r>
    </w:p>
    <w:p>
      <w:pPr>
        <w:pStyle w:val="8"/>
        <w:spacing w:line="360" w:lineRule="auto"/>
        <w:ind w:left="918"/>
        <w:rPr>
          <w:rFonts w:hint="eastAsia" w:ascii="宋体" w:hAnsi="宋体" w:eastAsia="宋体" w:cs="宋体"/>
          <w:spacing w:val="0"/>
        </w:rPr>
      </w:pPr>
      <w:r>
        <w:rPr>
          <w:rFonts w:hint="eastAsia" w:ascii="宋体" w:hAnsi="宋体" w:eastAsia="宋体" w:cs="宋体"/>
          <w:spacing w:val="0"/>
        </w:rPr>
        <w:t>3、招标文件获取方式：代理机构领取。</w:t>
      </w:r>
    </w:p>
    <w:p>
      <w:pPr>
        <w:pStyle w:val="8"/>
        <w:spacing w:line="360" w:lineRule="auto"/>
        <w:ind w:left="918"/>
        <w:rPr>
          <w:rFonts w:hint="eastAsia" w:ascii="宋体" w:hAnsi="宋体" w:eastAsia="宋体" w:cs="宋体"/>
          <w:spacing w:val="0"/>
        </w:rPr>
      </w:pPr>
      <w:r>
        <w:rPr>
          <w:rFonts w:hint="eastAsia" w:ascii="宋体" w:hAnsi="宋体" w:eastAsia="宋体" w:cs="宋体"/>
          <w:spacing w:val="0"/>
        </w:rPr>
        <w:t>4、报名所需资料（均须加盖供应商公章）：</w:t>
      </w:r>
    </w:p>
    <w:p>
      <w:pPr>
        <w:pStyle w:val="13"/>
        <w:numPr>
          <w:ilvl w:val="0"/>
          <w:numId w:val="1"/>
        </w:numPr>
        <w:tabs>
          <w:tab w:val="left" w:pos="1185"/>
        </w:tabs>
        <w:spacing w:line="360" w:lineRule="auto"/>
        <w:ind w:right="887" w:firstLine="465"/>
        <w:jc w:val="both"/>
        <w:rPr>
          <w:rFonts w:hint="eastAsia" w:ascii="宋体" w:hAnsi="宋体" w:eastAsia="宋体" w:cs="宋体"/>
          <w:spacing w:val="0"/>
        </w:rPr>
      </w:pPr>
      <w:r>
        <w:rPr>
          <w:rFonts w:hint="eastAsia" w:ascii="宋体" w:hAnsi="宋体" w:eastAsia="宋体" w:cs="宋体"/>
          <w:spacing w:val="0"/>
          <w:sz w:val="24"/>
        </w:rPr>
        <w:t>营业执照副本复印件或事业单位法人证书（符合浙财采监【2013】24 号《关于规范政府采购供应商资格设定及资格审查的通知》第六条规定的，按相关规定提供相应资料）；</w:t>
      </w:r>
    </w:p>
    <w:p>
      <w:pPr>
        <w:pStyle w:val="13"/>
        <w:numPr>
          <w:ilvl w:val="0"/>
          <w:numId w:val="1"/>
        </w:numPr>
        <w:tabs>
          <w:tab w:val="left" w:pos="1185"/>
        </w:tabs>
        <w:spacing w:line="360" w:lineRule="auto"/>
        <w:ind w:right="956" w:firstLine="465"/>
        <w:rPr>
          <w:rFonts w:hint="eastAsia" w:ascii="宋体" w:hAnsi="宋体" w:eastAsia="宋体" w:cs="宋体"/>
          <w:spacing w:val="0"/>
        </w:rPr>
      </w:pPr>
      <w:r>
        <w:rPr>
          <w:rFonts w:hint="eastAsia" w:ascii="宋体" w:hAnsi="宋体" w:eastAsia="宋体" w:cs="宋体"/>
          <w:spacing w:val="0"/>
          <w:sz w:val="24"/>
        </w:rPr>
        <w:t>投标人代表的有效身份证件原件与复印件，如授权委托的，还须提供有效的授权委托书原件（投标人代表必须亲自到场）；</w:t>
      </w:r>
    </w:p>
    <w:p>
      <w:pPr>
        <w:pStyle w:val="13"/>
        <w:numPr>
          <w:ilvl w:val="0"/>
          <w:numId w:val="1"/>
        </w:numPr>
        <w:tabs>
          <w:tab w:val="left" w:pos="1185"/>
        </w:tabs>
        <w:spacing w:line="360" w:lineRule="auto"/>
        <w:ind w:left="903" w:right="3107" w:firstLine="0"/>
        <w:rPr>
          <w:rFonts w:hint="eastAsia" w:ascii="宋体" w:hAnsi="宋体" w:eastAsia="宋体" w:cs="宋体"/>
          <w:b/>
          <w:spacing w:val="0"/>
        </w:rPr>
      </w:pPr>
      <w:r>
        <w:rPr>
          <w:rFonts w:hint="eastAsia" w:ascii="宋体" w:hAnsi="宋体" w:eastAsia="宋体" w:cs="宋体"/>
          <w:spacing w:val="0"/>
          <w:sz w:val="24"/>
        </w:rPr>
        <w:t>劳务派遣经营许可证、人力资源服务许可证原件与复件。</w:t>
      </w:r>
      <w:r>
        <w:rPr>
          <w:rFonts w:hint="eastAsia" w:ascii="宋体" w:hAnsi="宋体" w:eastAsia="宋体" w:cs="宋体"/>
          <w:b/>
          <w:spacing w:val="0"/>
          <w:sz w:val="24"/>
        </w:rPr>
        <w:t>六、投标截止时间：2022 年</w:t>
      </w:r>
      <w:r>
        <w:rPr>
          <w:rFonts w:hint="eastAsia" w:cs="宋体"/>
          <w:b/>
          <w:spacing w:val="0"/>
          <w:sz w:val="24"/>
          <w:lang w:val="en-US" w:eastAsia="zh-CN"/>
        </w:rPr>
        <w:t>5</w:t>
      </w:r>
      <w:r>
        <w:rPr>
          <w:rFonts w:hint="eastAsia" w:ascii="宋体" w:hAnsi="宋体" w:eastAsia="宋体" w:cs="宋体"/>
          <w:b/>
          <w:spacing w:val="0"/>
          <w:sz w:val="24"/>
        </w:rPr>
        <w:t>月</w:t>
      </w:r>
      <w:r>
        <w:rPr>
          <w:rFonts w:hint="eastAsia" w:cs="宋体"/>
          <w:b/>
          <w:spacing w:val="0"/>
          <w:sz w:val="24"/>
          <w:lang w:val="en-US" w:eastAsia="zh-CN"/>
        </w:rPr>
        <w:t>10</w:t>
      </w:r>
      <w:r>
        <w:rPr>
          <w:rFonts w:hint="eastAsia" w:ascii="宋体" w:hAnsi="宋体" w:eastAsia="宋体" w:cs="宋体"/>
          <w:b/>
          <w:spacing w:val="0"/>
          <w:sz w:val="24"/>
        </w:rPr>
        <w:t xml:space="preserve">日 </w:t>
      </w:r>
      <w:r>
        <w:rPr>
          <w:rFonts w:hint="eastAsia" w:ascii="宋体" w:hAnsi="宋体" w:eastAsia="宋体" w:cs="宋体"/>
          <w:b/>
          <w:spacing w:val="0"/>
          <w:sz w:val="24"/>
          <w:lang w:val="en-US"/>
        </w:rPr>
        <w:t>14</w:t>
      </w:r>
      <w:r>
        <w:rPr>
          <w:rFonts w:hint="eastAsia" w:ascii="宋体" w:hAnsi="宋体" w:eastAsia="宋体" w:cs="宋体"/>
          <w:b/>
          <w:spacing w:val="0"/>
          <w:sz w:val="24"/>
        </w:rPr>
        <w:t xml:space="preserve"> 时</w:t>
      </w:r>
      <w:r>
        <w:rPr>
          <w:rFonts w:hint="eastAsia" w:ascii="宋体" w:hAnsi="宋体" w:eastAsia="宋体" w:cs="宋体"/>
          <w:b/>
          <w:spacing w:val="0"/>
          <w:sz w:val="24"/>
          <w:lang w:val="en-US"/>
        </w:rPr>
        <w:t xml:space="preserve"> 00分</w:t>
      </w:r>
    </w:p>
    <w:p>
      <w:pPr>
        <w:pStyle w:val="6"/>
        <w:spacing w:before="0" w:line="360" w:lineRule="auto"/>
        <w:ind w:left="918" w:right="4772"/>
        <w:rPr>
          <w:rFonts w:hint="eastAsia" w:ascii="宋体" w:hAnsi="宋体" w:eastAsia="宋体" w:cs="宋体"/>
          <w:spacing w:val="0"/>
        </w:rPr>
      </w:pPr>
      <w:r>
        <w:rPr>
          <w:rFonts w:hint="eastAsia" w:ascii="宋体" w:hAnsi="宋体" w:eastAsia="宋体" w:cs="宋体"/>
          <w:spacing w:val="0"/>
        </w:rPr>
        <w:t>七、投标地址：萧山区</w:t>
      </w:r>
      <w:r>
        <w:rPr>
          <w:rFonts w:hint="eastAsia" w:ascii="宋体" w:hAnsi="宋体" w:eastAsia="宋体" w:cs="宋体"/>
          <w:spacing w:val="0"/>
          <w:lang w:val="en-US"/>
        </w:rPr>
        <w:t>北干</w:t>
      </w:r>
      <w:r>
        <w:rPr>
          <w:rFonts w:hint="eastAsia" w:ascii="宋体" w:hAnsi="宋体" w:eastAsia="宋体" w:cs="宋体"/>
          <w:spacing w:val="0"/>
        </w:rPr>
        <w:t>初级中学会议室</w:t>
      </w:r>
      <w:bookmarkStart w:id="6" w:name="八、交易保证金：不收取"/>
      <w:bookmarkEnd w:id="6"/>
    </w:p>
    <w:p>
      <w:pPr>
        <w:pStyle w:val="6"/>
        <w:spacing w:before="0" w:line="360" w:lineRule="auto"/>
        <w:ind w:left="918" w:right="4772"/>
        <w:rPr>
          <w:rFonts w:hint="eastAsia" w:ascii="宋体" w:hAnsi="宋体" w:eastAsia="宋体" w:cs="宋体"/>
          <w:spacing w:val="0"/>
        </w:rPr>
      </w:pPr>
      <w:r>
        <w:rPr>
          <w:rFonts w:hint="eastAsia" w:ascii="宋体" w:hAnsi="宋体" w:eastAsia="宋体" w:cs="宋体"/>
          <w:spacing w:val="0"/>
        </w:rPr>
        <w:t>八、投标保证金：不收取</w:t>
      </w:r>
    </w:p>
    <w:p>
      <w:pPr>
        <w:spacing w:line="360" w:lineRule="auto"/>
        <w:ind w:left="903"/>
        <w:rPr>
          <w:rFonts w:hint="eastAsia" w:ascii="宋体" w:hAnsi="宋体" w:eastAsia="宋体" w:cs="宋体"/>
          <w:b/>
          <w:spacing w:val="0"/>
          <w:sz w:val="24"/>
        </w:rPr>
      </w:pPr>
      <w:r>
        <w:rPr>
          <w:rFonts w:hint="eastAsia" w:ascii="宋体" w:hAnsi="宋体" w:eastAsia="宋体" w:cs="宋体"/>
          <w:b/>
          <w:spacing w:val="0"/>
          <w:sz w:val="24"/>
        </w:rPr>
        <w:t>九、联系方式</w:t>
      </w:r>
    </w:p>
    <w:p>
      <w:pPr>
        <w:pStyle w:val="8"/>
        <w:spacing w:line="360" w:lineRule="auto"/>
        <w:ind w:left="918"/>
        <w:rPr>
          <w:rFonts w:hint="eastAsia" w:ascii="宋体" w:hAnsi="宋体" w:eastAsia="宋体" w:cs="宋体"/>
          <w:spacing w:val="0"/>
        </w:rPr>
      </w:pPr>
      <w:r>
        <w:rPr>
          <w:rFonts w:hint="eastAsia" w:ascii="宋体" w:hAnsi="宋体" w:eastAsia="宋体" w:cs="宋体"/>
          <w:spacing w:val="0"/>
        </w:rPr>
        <w:t>1、采购人名称：</w:t>
      </w:r>
      <w:r>
        <w:rPr>
          <w:rFonts w:hint="eastAsia" w:ascii="宋体" w:hAnsi="宋体" w:eastAsia="宋体" w:cs="宋体"/>
          <w:spacing w:val="0"/>
          <w:u w:val="single"/>
        </w:rPr>
        <w:t>萧山区</w:t>
      </w:r>
      <w:r>
        <w:rPr>
          <w:rFonts w:hint="eastAsia" w:ascii="宋体" w:hAnsi="宋体" w:eastAsia="宋体" w:cs="宋体"/>
          <w:spacing w:val="0"/>
          <w:u w:val="single"/>
          <w:lang w:val="en-US"/>
        </w:rPr>
        <w:t>北干</w:t>
      </w:r>
      <w:r>
        <w:rPr>
          <w:rFonts w:hint="eastAsia" w:ascii="宋体" w:hAnsi="宋体" w:eastAsia="宋体" w:cs="宋体"/>
          <w:spacing w:val="0"/>
          <w:u w:val="single"/>
        </w:rPr>
        <w:t>初级中学</w:t>
      </w:r>
    </w:p>
    <w:p>
      <w:pPr>
        <w:pStyle w:val="8"/>
        <w:tabs>
          <w:tab w:val="left" w:pos="3075"/>
        </w:tabs>
        <w:spacing w:line="360" w:lineRule="auto"/>
        <w:ind w:left="918" w:firstLine="240" w:firstLineChars="100"/>
        <w:rPr>
          <w:rFonts w:hint="eastAsia" w:ascii="宋体" w:hAnsi="宋体" w:eastAsia="宋体" w:cs="宋体"/>
          <w:spacing w:val="0"/>
        </w:rPr>
      </w:pPr>
      <w:r>
        <w:rPr>
          <w:rFonts w:hint="eastAsia" w:ascii="宋体" w:hAnsi="宋体" w:eastAsia="宋体" w:cs="宋体"/>
          <w:spacing w:val="0"/>
        </w:rPr>
        <w:t>采购人地址：浙江省杭州市萧山区永金路</w:t>
      </w:r>
    </w:p>
    <w:p>
      <w:pPr>
        <w:pStyle w:val="8"/>
        <w:tabs>
          <w:tab w:val="left" w:pos="3075"/>
        </w:tabs>
        <w:spacing w:line="360" w:lineRule="auto"/>
        <w:ind w:left="918" w:firstLine="240" w:firstLineChars="100"/>
        <w:rPr>
          <w:rFonts w:hint="eastAsia" w:ascii="宋体" w:hAnsi="宋体" w:eastAsia="宋体" w:cs="宋体"/>
          <w:spacing w:val="0"/>
          <w:highlight w:val="none"/>
          <w:lang w:val="en-US"/>
        </w:rPr>
      </w:pPr>
      <w:r>
        <w:rPr>
          <w:rFonts w:hint="eastAsia" w:ascii="宋体" w:hAnsi="宋体" w:eastAsia="宋体" w:cs="宋体"/>
          <w:spacing w:val="0"/>
          <w:highlight w:val="none"/>
        </w:rPr>
        <w:t>项目联系人姓名：</w:t>
      </w:r>
      <w:r>
        <w:rPr>
          <w:rFonts w:hint="eastAsia" w:ascii="宋体" w:hAnsi="宋体" w:eastAsia="宋体" w:cs="宋体"/>
          <w:spacing w:val="0"/>
          <w:highlight w:val="none"/>
          <w:lang w:val="en-US" w:eastAsia="zh-CN"/>
        </w:rPr>
        <w:t>来雨枫</w:t>
      </w:r>
      <w:r>
        <w:rPr>
          <w:rFonts w:hint="eastAsia" w:ascii="宋体" w:hAnsi="宋体" w:eastAsia="宋体" w:cs="宋体"/>
          <w:spacing w:val="0"/>
          <w:highlight w:val="none"/>
          <w:lang w:val="en-US"/>
        </w:rPr>
        <w:t xml:space="preserve">     </w:t>
      </w:r>
      <w:r>
        <w:rPr>
          <w:rFonts w:hint="eastAsia" w:ascii="宋体" w:hAnsi="宋体" w:eastAsia="宋体" w:cs="宋体"/>
          <w:spacing w:val="0"/>
          <w:highlight w:val="none"/>
        </w:rPr>
        <w:t>电话：</w:t>
      </w:r>
      <w:r>
        <w:rPr>
          <w:rFonts w:hint="eastAsia" w:ascii="宋体" w:hAnsi="宋体" w:eastAsia="宋体" w:cs="宋体"/>
          <w:spacing w:val="0"/>
          <w:highlight w:val="none"/>
          <w:lang w:val="en-US" w:eastAsia="zh-CN"/>
        </w:rPr>
        <w:t>13173661090</w:t>
      </w:r>
      <w:r>
        <w:rPr>
          <w:rFonts w:hint="eastAsia" w:ascii="宋体" w:hAnsi="宋体" w:eastAsia="宋体" w:cs="宋体"/>
          <w:spacing w:val="0"/>
          <w:highlight w:val="none"/>
          <w:lang w:val="en-US"/>
        </w:rPr>
        <w:t xml:space="preserve"> </w:t>
      </w:r>
    </w:p>
    <w:p>
      <w:pPr>
        <w:pStyle w:val="8"/>
        <w:tabs>
          <w:tab w:val="left" w:pos="3075"/>
        </w:tabs>
        <w:spacing w:line="360" w:lineRule="auto"/>
        <w:ind w:left="918" w:firstLine="240" w:firstLineChars="100"/>
        <w:rPr>
          <w:rFonts w:hint="eastAsia" w:ascii="宋体" w:hAnsi="宋体" w:eastAsia="宋体" w:cs="宋体"/>
          <w:spacing w:val="0"/>
        </w:rPr>
      </w:pPr>
      <w:r>
        <w:rPr>
          <w:rFonts w:hint="eastAsia" w:ascii="宋体" w:hAnsi="宋体" w:eastAsia="宋体" w:cs="宋体"/>
          <w:spacing w:val="0"/>
        </w:rPr>
        <w:t>2、代理机构名称：浙江翔实建设项目管理有限公司</w:t>
      </w:r>
    </w:p>
    <w:p>
      <w:pPr>
        <w:pStyle w:val="8"/>
        <w:tabs>
          <w:tab w:val="left" w:pos="3075"/>
        </w:tabs>
        <w:spacing w:line="360" w:lineRule="auto"/>
        <w:ind w:left="918" w:firstLine="240" w:firstLineChars="100"/>
        <w:rPr>
          <w:rFonts w:hint="eastAsia" w:ascii="宋体" w:hAnsi="宋体" w:eastAsia="宋体" w:cs="宋体"/>
          <w:spacing w:val="0"/>
        </w:rPr>
      </w:pPr>
      <w:r>
        <w:rPr>
          <w:rFonts w:hint="eastAsia" w:ascii="宋体" w:hAnsi="宋体" w:eastAsia="宋体" w:cs="宋体"/>
          <w:spacing w:val="0"/>
        </w:rPr>
        <w:t>代理机构地址：</w:t>
      </w:r>
      <w:r>
        <w:rPr>
          <w:rFonts w:hint="eastAsia" w:ascii="宋体" w:hAnsi="宋体" w:eastAsia="宋体" w:cs="宋体"/>
          <w:spacing w:val="0"/>
          <w:u w:val="single"/>
        </w:rPr>
        <w:t>杭州市萧山区汇通大厦4号楼6楼</w:t>
      </w:r>
    </w:p>
    <w:p>
      <w:pPr>
        <w:pStyle w:val="8"/>
        <w:spacing w:line="360" w:lineRule="auto"/>
        <w:ind w:left="1079"/>
        <w:rPr>
          <w:rFonts w:hint="eastAsia" w:ascii="宋体" w:hAnsi="宋体" w:eastAsia="宋体" w:cs="宋体"/>
          <w:spacing w:val="0"/>
          <w:lang w:val="en-US"/>
        </w:rPr>
      </w:pPr>
      <w:r>
        <w:rPr>
          <w:rFonts w:hint="eastAsia" w:ascii="宋体" w:hAnsi="宋体" w:eastAsia="宋体" w:cs="宋体"/>
          <w:spacing w:val="0"/>
        </w:rPr>
        <w:t>代理机构项目联系人姓名：</w:t>
      </w:r>
      <w:r>
        <w:rPr>
          <w:rFonts w:hint="eastAsia" w:ascii="宋体" w:hAnsi="宋体" w:eastAsia="宋体" w:cs="宋体"/>
          <w:spacing w:val="0"/>
          <w:u w:val="single"/>
          <w:lang w:val="en-US" w:eastAsia="zh-CN"/>
        </w:rPr>
        <w:t>韩超超</w:t>
      </w:r>
      <w:r>
        <w:rPr>
          <w:rFonts w:hint="eastAsia" w:ascii="宋体" w:hAnsi="宋体" w:eastAsia="宋体" w:cs="宋体"/>
          <w:spacing w:val="0"/>
        </w:rPr>
        <w:t xml:space="preserve"> 电话：</w:t>
      </w:r>
      <w:r>
        <w:rPr>
          <w:rFonts w:hint="eastAsia" w:ascii="宋体" w:hAnsi="宋体" w:eastAsia="宋体" w:cs="宋体"/>
          <w:spacing w:val="0"/>
          <w:u w:val="single"/>
          <w:lang w:val="en-US"/>
        </w:rPr>
        <w:t>13362195137</w:t>
      </w:r>
    </w:p>
    <w:p>
      <w:pPr>
        <w:pStyle w:val="8"/>
        <w:spacing w:before="54" w:line="360" w:lineRule="auto"/>
        <w:ind w:right="863"/>
        <w:jc w:val="right"/>
        <w:rPr>
          <w:rFonts w:hint="eastAsia" w:ascii="宋体" w:hAnsi="宋体" w:eastAsia="宋体" w:cs="宋体"/>
          <w:spacing w:val="0"/>
        </w:rPr>
      </w:pPr>
      <w:r>
        <w:rPr>
          <w:rFonts w:hint="eastAsia" w:ascii="宋体" w:hAnsi="宋体" w:eastAsia="宋体" w:cs="宋体"/>
          <w:spacing w:val="0"/>
        </w:rPr>
        <w:t>萧山区</w:t>
      </w:r>
      <w:r>
        <w:rPr>
          <w:rFonts w:hint="eastAsia" w:ascii="宋体" w:hAnsi="宋体" w:eastAsia="宋体" w:cs="宋体"/>
          <w:spacing w:val="0"/>
          <w:lang w:val="en-US"/>
        </w:rPr>
        <w:t>北干</w:t>
      </w:r>
      <w:r>
        <w:rPr>
          <w:rFonts w:hint="eastAsia" w:ascii="宋体" w:hAnsi="宋体" w:eastAsia="宋体" w:cs="宋体"/>
          <w:spacing w:val="0"/>
        </w:rPr>
        <w:t>初级中学</w:t>
      </w:r>
    </w:p>
    <w:p>
      <w:pPr>
        <w:pStyle w:val="8"/>
        <w:wordWrap w:val="0"/>
        <w:spacing w:line="360" w:lineRule="auto"/>
        <w:ind w:right="803"/>
        <w:jc w:val="right"/>
      </w:pPr>
      <w:r>
        <w:rPr>
          <w:rFonts w:hint="eastAsia" w:ascii="宋体" w:hAnsi="宋体" w:eastAsia="宋体" w:cs="宋体"/>
          <w:spacing w:val="0"/>
        </w:rPr>
        <w:t xml:space="preserve">2022年 </w:t>
      </w:r>
      <w:r>
        <w:rPr>
          <w:rFonts w:hint="eastAsia" w:ascii="宋体" w:hAnsi="宋体" w:eastAsia="宋体" w:cs="宋体"/>
          <w:spacing w:val="0"/>
          <w:lang w:val="en-US"/>
        </w:rPr>
        <w:t>4</w:t>
      </w:r>
      <w:r>
        <w:rPr>
          <w:rFonts w:hint="eastAsia" w:ascii="宋体" w:hAnsi="宋体" w:eastAsia="宋体" w:cs="宋体"/>
          <w:spacing w:val="0"/>
        </w:rPr>
        <w:t xml:space="preserve"> 月</w:t>
      </w:r>
      <w:r>
        <w:rPr>
          <w:rFonts w:hint="eastAsia" w:cs="宋体"/>
          <w:spacing w:val="0"/>
          <w:lang w:val="en-US" w:eastAsia="zh-CN"/>
        </w:rPr>
        <w:t>26</w:t>
      </w:r>
      <w:r>
        <w:rPr>
          <w:rFonts w:hint="eastAsia" w:ascii="宋体" w:hAnsi="宋体" w:eastAsia="宋体" w:cs="宋体"/>
          <w:spacing w:val="0"/>
        </w:rPr>
        <w:t>日</w:t>
      </w:r>
    </w:p>
    <w:p>
      <w:pPr>
        <w:spacing w:line="360" w:lineRule="auto"/>
        <w:jc w:val="right"/>
        <w:sectPr>
          <w:pgSz w:w="11910" w:h="16840"/>
          <w:pgMar w:top="1260" w:right="420" w:bottom="1220" w:left="980" w:header="887" w:footer="1039" w:gutter="0"/>
          <w:cols w:space="720" w:num="1"/>
        </w:sectPr>
      </w:pPr>
    </w:p>
    <w:p>
      <w:pPr>
        <w:pStyle w:val="2"/>
        <w:tabs>
          <w:tab w:val="left" w:pos="1605"/>
        </w:tabs>
        <w:spacing w:before="54"/>
        <w:ind w:right="427"/>
        <w:jc w:val="center"/>
      </w:pPr>
      <w:bookmarkStart w:id="7" w:name="第二部分供应商须知"/>
      <w:bookmarkEnd w:id="7"/>
      <w:r>
        <w:t>第二部分</w:t>
      </w:r>
      <w:r>
        <w:tab/>
      </w:r>
      <w:r>
        <w:t>供应商须知</w:t>
      </w:r>
    </w:p>
    <w:p>
      <w:pPr>
        <w:pStyle w:val="6"/>
        <w:spacing w:before="273"/>
        <w:ind w:left="2955" w:right="2900"/>
        <w:jc w:val="center"/>
      </w:pPr>
      <w:bookmarkStart w:id="8" w:name="前附表"/>
      <w:bookmarkEnd w:id="8"/>
      <w:r>
        <w:t>前附表</w:t>
      </w:r>
    </w:p>
    <w:p>
      <w:pPr>
        <w:pStyle w:val="8"/>
        <w:spacing w:before="9"/>
        <w:rPr>
          <w:b/>
          <w:sz w:val="12"/>
        </w:rPr>
      </w:pPr>
    </w:p>
    <w:tbl>
      <w:tblPr>
        <w:tblStyle w:val="11"/>
        <w:tblW w:w="9326" w:type="dxa"/>
        <w:tblInd w:w="3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9"/>
        <w:gridCol w:w="510"/>
        <w:gridCol w:w="561"/>
        <w:gridCol w:w="561"/>
        <w:gridCol w:w="2625"/>
        <w:gridCol w:w="719"/>
        <w:gridCol w:w="3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819" w:type="dxa"/>
          </w:tcPr>
          <w:p>
            <w:pPr>
              <w:pStyle w:val="14"/>
              <w:spacing w:before="144"/>
              <w:ind w:left="154" w:right="135"/>
              <w:jc w:val="center"/>
              <w:rPr>
                <w:sz w:val="24"/>
              </w:rPr>
            </w:pPr>
            <w:r>
              <w:rPr>
                <w:sz w:val="24"/>
              </w:rPr>
              <w:t>条款</w:t>
            </w:r>
          </w:p>
        </w:tc>
        <w:tc>
          <w:tcPr>
            <w:tcW w:w="4257" w:type="dxa"/>
            <w:gridSpan w:val="4"/>
            <w:tcBorders>
              <w:right w:val="nil"/>
            </w:tcBorders>
          </w:tcPr>
          <w:p>
            <w:pPr>
              <w:pStyle w:val="14"/>
              <w:tabs>
                <w:tab w:val="left" w:pos="719"/>
              </w:tabs>
              <w:spacing w:before="67"/>
              <w:ind w:right="236"/>
              <w:jc w:val="right"/>
              <w:rPr>
                <w:b/>
                <w:sz w:val="24"/>
              </w:rPr>
            </w:pPr>
            <w:r>
              <w:rPr>
                <w:b/>
                <w:sz w:val="24"/>
              </w:rPr>
              <w:t>内</w:t>
            </w:r>
            <w:r>
              <w:rPr>
                <w:b/>
                <w:sz w:val="24"/>
              </w:rPr>
              <w:tab/>
            </w:r>
            <w:r>
              <w:rPr>
                <w:b/>
                <w:w w:val="90"/>
                <w:sz w:val="24"/>
              </w:rPr>
              <w:t>容</w:t>
            </w:r>
          </w:p>
        </w:tc>
        <w:tc>
          <w:tcPr>
            <w:tcW w:w="719" w:type="dxa"/>
            <w:tcBorders>
              <w:left w:val="nil"/>
              <w:right w:val="nil"/>
            </w:tcBorders>
          </w:tcPr>
          <w:p>
            <w:pPr>
              <w:pStyle w:val="14"/>
              <w:spacing w:before="67"/>
              <w:ind w:left="4"/>
              <w:jc w:val="center"/>
              <w:rPr>
                <w:b/>
                <w:sz w:val="24"/>
              </w:rPr>
            </w:pPr>
            <w:r>
              <w:rPr>
                <w:b/>
                <w:w w:val="97"/>
                <w:sz w:val="24"/>
              </w:rPr>
              <w:t>规</w:t>
            </w:r>
          </w:p>
        </w:tc>
        <w:tc>
          <w:tcPr>
            <w:tcW w:w="3531" w:type="dxa"/>
            <w:tcBorders>
              <w:left w:val="nil"/>
            </w:tcBorders>
          </w:tcPr>
          <w:p>
            <w:pPr>
              <w:pStyle w:val="14"/>
              <w:spacing w:before="67"/>
              <w:ind w:left="244"/>
              <w:rPr>
                <w:b/>
                <w:sz w:val="24"/>
              </w:rPr>
            </w:pPr>
            <w:r>
              <w:rPr>
                <w:b/>
                <w:w w:val="97"/>
                <w:sz w:val="24"/>
              </w:rPr>
              <w:t>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8" w:hRule="atLeast"/>
        </w:trPr>
        <w:tc>
          <w:tcPr>
            <w:tcW w:w="819" w:type="dxa"/>
          </w:tcPr>
          <w:p>
            <w:pPr>
              <w:pStyle w:val="14"/>
              <w:rPr>
                <w:b/>
                <w:sz w:val="26"/>
              </w:rPr>
            </w:pPr>
          </w:p>
          <w:p>
            <w:pPr>
              <w:pStyle w:val="14"/>
              <w:rPr>
                <w:b/>
                <w:sz w:val="26"/>
              </w:rPr>
            </w:pPr>
          </w:p>
          <w:p>
            <w:pPr>
              <w:pStyle w:val="14"/>
              <w:spacing w:before="11"/>
              <w:rPr>
                <w:b/>
                <w:sz w:val="21"/>
              </w:rPr>
            </w:pPr>
          </w:p>
          <w:p>
            <w:pPr>
              <w:pStyle w:val="14"/>
              <w:spacing w:before="1"/>
              <w:ind w:left="19"/>
              <w:jc w:val="center"/>
              <w:rPr>
                <w:rFonts w:ascii="Times New Roman"/>
                <w:sz w:val="24"/>
              </w:rPr>
            </w:pPr>
            <w:r>
              <w:rPr>
                <w:rFonts w:ascii="Times New Roman"/>
                <w:sz w:val="24"/>
              </w:rPr>
              <w:t>1</w:t>
            </w:r>
          </w:p>
        </w:tc>
        <w:tc>
          <w:tcPr>
            <w:tcW w:w="8507" w:type="dxa"/>
            <w:gridSpan w:val="6"/>
          </w:tcPr>
          <w:p>
            <w:pPr>
              <w:pStyle w:val="14"/>
              <w:spacing w:before="18" w:line="454" w:lineRule="exact"/>
              <w:ind w:left="1200" w:hanging="1090"/>
              <w:rPr>
                <w:rFonts w:hint="eastAsia" w:eastAsia="宋体"/>
                <w:spacing w:val="-4"/>
                <w:sz w:val="24"/>
                <w:u w:val="single"/>
                <w:lang w:eastAsia="zh-CN"/>
              </w:rPr>
            </w:pPr>
            <w:r>
              <w:rPr>
                <w:b/>
                <w:spacing w:val="-23"/>
                <w:sz w:val="24"/>
              </w:rPr>
              <w:t>项目名称</w:t>
            </w:r>
            <w:r>
              <w:rPr>
                <w:spacing w:val="-22"/>
                <w:sz w:val="24"/>
              </w:rPr>
              <w:t>：</w:t>
            </w:r>
            <w:r>
              <w:rPr>
                <w:rFonts w:hint="eastAsia"/>
                <w:spacing w:val="-4"/>
                <w:sz w:val="24"/>
                <w:u w:val="single"/>
              </w:rPr>
              <w:t>萧山区</w:t>
            </w:r>
            <w:r>
              <w:rPr>
                <w:rFonts w:hint="eastAsia"/>
                <w:spacing w:val="-4"/>
                <w:sz w:val="24"/>
                <w:u w:val="single"/>
                <w:lang w:val="en-US"/>
              </w:rPr>
              <w:t>北干</w:t>
            </w:r>
            <w:r>
              <w:rPr>
                <w:rFonts w:hint="eastAsia"/>
                <w:spacing w:val="-4"/>
                <w:sz w:val="24"/>
                <w:u w:val="single"/>
              </w:rPr>
              <w:t>初级中学外籍教师派遣服务</w:t>
            </w:r>
            <w:r>
              <w:rPr>
                <w:rFonts w:hint="eastAsia"/>
                <w:spacing w:val="-4"/>
                <w:sz w:val="24"/>
                <w:u w:val="single"/>
                <w:lang w:eastAsia="zh-CN"/>
              </w:rPr>
              <w:t>（二次）</w:t>
            </w:r>
          </w:p>
          <w:p>
            <w:pPr>
              <w:pStyle w:val="14"/>
              <w:spacing w:before="18" w:line="454" w:lineRule="exact"/>
              <w:ind w:left="220" w:leftChars="100" w:firstLine="1200" w:firstLineChars="500"/>
              <w:rPr>
                <w:sz w:val="24"/>
              </w:rPr>
            </w:pPr>
            <w:r>
              <w:rPr>
                <w:sz w:val="24"/>
              </w:rPr>
              <w:t>本项目属</w:t>
            </w:r>
            <w:r>
              <w:rPr>
                <w:spacing w:val="-2"/>
                <w:sz w:val="24"/>
                <w:u w:val="single"/>
              </w:rPr>
              <w:t xml:space="preserve"> 服务</w:t>
            </w:r>
            <w:r>
              <w:rPr>
                <w:spacing w:val="-2"/>
                <w:sz w:val="24"/>
              </w:rPr>
              <w:t xml:space="preserve"> 类项目。</w:t>
            </w:r>
          </w:p>
          <w:p>
            <w:pPr>
              <w:pStyle w:val="14"/>
              <w:spacing w:line="247" w:lineRule="auto"/>
              <w:ind w:left="111" w:right="354"/>
              <w:rPr>
                <w:sz w:val="24"/>
              </w:rPr>
            </w:pPr>
            <w:r>
              <w:rPr>
                <w:b/>
                <w:sz w:val="24"/>
              </w:rPr>
              <w:t>项目内容</w:t>
            </w:r>
            <w:r>
              <w:rPr>
                <w:sz w:val="24"/>
              </w:rPr>
              <w:t>：</w:t>
            </w:r>
            <w:r>
              <w:rPr>
                <w:rFonts w:hint="eastAsia"/>
                <w:sz w:val="24"/>
                <w:u w:val="single"/>
              </w:rPr>
              <w:t>萧山区</w:t>
            </w:r>
            <w:r>
              <w:rPr>
                <w:rFonts w:hint="eastAsia"/>
                <w:sz w:val="24"/>
                <w:u w:val="single"/>
                <w:lang w:val="en-US"/>
              </w:rPr>
              <w:t>北干</w:t>
            </w:r>
            <w:r>
              <w:rPr>
                <w:rFonts w:hint="eastAsia"/>
                <w:sz w:val="24"/>
                <w:u w:val="single"/>
              </w:rPr>
              <w:t>初级中学外籍教师派遣服务</w:t>
            </w:r>
            <w:r>
              <w:rPr>
                <w:sz w:val="24"/>
              </w:rPr>
              <w:t>，详见采购需求。</w:t>
            </w:r>
          </w:p>
          <w:p>
            <w:pPr>
              <w:pStyle w:val="14"/>
              <w:spacing w:line="247" w:lineRule="auto"/>
              <w:ind w:left="111" w:right="1181"/>
              <w:rPr>
                <w:sz w:val="24"/>
              </w:rPr>
            </w:pPr>
            <w:r>
              <w:rPr>
                <w:b/>
                <w:sz w:val="24"/>
              </w:rPr>
              <w:t>项目实施地点</w:t>
            </w:r>
            <w:r>
              <w:rPr>
                <w:sz w:val="24"/>
              </w:rPr>
              <w:t>：</w:t>
            </w:r>
            <w:r>
              <w:rPr>
                <w:sz w:val="24"/>
                <w:u w:val="single"/>
              </w:rPr>
              <w:t>萧山区</w:t>
            </w:r>
            <w:r>
              <w:rPr>
                <w:rFonts w:hint="eastAsia"/>
                <w:sz w:val="24"/>
                <w:u w:val="single"/>
                <w:lang w:val="en-US"/>
              </w:rPr>
              <w:t>北干</w:t>
            </w:r>
            <w:r>
              <w:rPr>
                <w:sz w:val="24"/>
                <w:u w:val="single"/>
              </w:rPr>
              <w:t>初级中学</w:t>
            </w:r>
            <w:r>
              <w:rPr>
                <w:sz w:val="24"/>
              </w:rPr>
              <w:t>指定地点内。</w:t>
            </w:r>
          </w:p>
          <w:p>
            <w:pPr>
              <w:pStyle w:val="14"/>
              <w:spacing w:line="305" w:lineRule="exact"/>
              <w:ind w:left="111"/>
              <w:rPr>
                <w:sz w:val="24"/>
              </w:rPr>
            </w:pPr>
            <w:r>
              <w:rPr>
                <w:b/>
                <w:sz w:val="24"/>
              </w:rPr>
              <w:t>本次项目标项划分</w:t>
            </w:r>
            <w:r>
              <w:rPr>
                <w:sz w:val="24"/>
              </w:rPr>
              <w:t>：本项目分为</w:t>
            </w:r>
            <w:r>
              <w:rPr>
                <w:sz w:val="24"/>
                <w:u w:val="single"/>
              </w:rPr>
              <w:t xml:space="preserve"> </w:t>
            </w:r>
            <w:r>
              <w:rPr>
                <w:rFonts w:ascii="Times New Roman" w:eastAsia="Times New Roman"/>
                <w:sz w:val="24"/>
                <w:u w:val="single"/>
              </w:rPr>
              <w:t>1</w:t>
            </w:r>
            <w:r>
              <w:rPr>
                <w:rFonts w:ascii="Times New Roman" w:eastAsia="Times New Roman"/>
                <w:sz w:val="24"/>
              </w:rPr>
              <w:t xml:space="preserve">  </w:t>
            </w:r>
            <w:r>
              <w:rPr>
                <w:sz w:val="24"/>
              </w:rPr>
              <w:t>个标项，同一标项不得拆分。</w:t>
            </w:r>
          </w:p>
          <w:p>
            <w:pPr>
              <w:pStyle w:val="14"/>
              <w:tabs>
                <w:tab w:val="left" w:pos="1791"/>
              </w:tabs>
              <w:spacing w:line="291" w:lineRule="exact"/>
              <w:ind w:left="111"/>
              <w:rPr>
                <w:sz w:val="24"/>
              </w:rPr>
            </w:pPr>
            <w:r>
              <w:rPr>
                <w:b/>
                <w:sz w:val="24"/>
              </w:rPr>
              <w:t>工</w:t>
            </w:r>
            <w:r>
              <w:rPr>
                <w:b/>
                <w:sz w:val="24"/>
              </w:rPr>
              <w:tab/>
            </w:r>
            <w:r>
              <w:rPr>
                <w:b/>
                <w:sz w:val="24"/>
              </w:rPr>
              <w:t>期</w:t>
            </w:r>
            <w:r>
              <w:rPr>
                <w:sz w:val="24"/>
              </w:rPr>
              <w:t>：</w:t>
            </w:r>
            <w:r>
              <w:rPr>
                <w:sz w:val="24"/>
                <w:u w:val="single"/>
              </w:rPr>
              <w:t>详见</w:t>
            </w:r>
            <w:r>
              <w:rPr>
                <w:rFonts w:hint="eastAsia"/>
                <w:sz w:val="24"/>
                <w:u w:val="single"/>
              </w:rPr>
              <w:t>采购</w:t>
            </w:r>
            <w:r>
              <w:rPr>
                <w:sz w:val="24"/>
                <w:u w:val="single"/>
              </w:rPr>
              <w:t>需求</w:t>
            </w: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819" w:type="dxa"/>
          </w:tcPr>
          <w:p>
            <w:pPr>
              <w:pStyle w:val="14"/>
              <w:spacing w:before="213"/>
              <w:ind w:left="19"/>
              <w:jc w:val="center"/>
              <w:rPr>
                <w:rFonts w:ascii="Times New Roman"/>
                <w:sz w:val="24"/>
              </w:rPr>
            </w:pPr>
            <w:r>
              <w:rPr>
                <w:rFonts w:ascii="Times New Roman"/>
                <w:sz w:val="24"/>
              </w:rPr>
              <w:t>2</w:t>
            </w:r>
          </w:p>
        </w:tc>
        <w:tc>
          <w:tcPr>
            <w:tcW w:w="8507" w:type="dxa"/>
            <w:gridSpan w:val="6"/>
          </w:tcPr>
          <w:p>
            <w:pPr>
              <w:pStyle w:val="14"/>
              <w:spacing w:before="43" w:line="242" w:lineRule="auto"/>
              <w:ind w:left="2307" w:right="276" w:hanging="2196"/>
              <w:rPr>
                <w:sz w:val="24"/>
              </w:rPr>
            </w:pPr>
            <w:r>
              <w:rPr>
                <w:rFonts w:hint="eastAsia"/>
                <w:b/>
                <w:sz w:val="24"/>
              </w:rPr>
              <w:t xml:space="preserve">投 </w:t>
            </w:r>
            <w:r>
              <w:rPr>
                <w:b/>
                <w:sz w:val="24"/>
              </w:rPr>
              <w:t>标 有 效 期：</w:t>
            </w:r>
            <w:r>
              <w:rPr>
                <w:sz w:val="24"/>
              </w:rPr>
              <w:t xml:space="preserve">自响应截止日起 </w:t>
            </w:r>
            <w:r>
              <w:rPr>
                <w:rFonts w:ascii="Times New Roman" w:eastAsia="Times New Roman"/>
                <w:sz w:val="24"/>
                <w:u w:val="single"/>
              </w:rPr>
              <w:t>90</w:t>
            </w:r>
            <w:r>
              <w:rPr>
                <w:rFonts w:ascii="Times New Roman" w:eastAsia="Times New Roman"/>
                <w:sz w:val="24"/>
              </w:rPr>
              <w:t xml:space="preserve"> </w:t>
            </w:r>
            <w:r>
              <w:rPr>
                <w:sz w:val="24"/>
              </w:rPr>
              <w:t xml:space="preserve">日历天。如代理机构认为必要，可延长至总计最长不超过 </w:t>
            </w:r>
            <w:r>
              <w:rPr>
                <w:rFonts w:ascii="Times New Roman" w:eastAsia="Times New Roman"/>
                <w:sz w:val="24"/>
                <w:u w:val="single"/>
              </w:rPr>
              <w:t>120</w:t>
            </w:r>
            <w:r>
              <w:rPr>
                <w:rFonts w:ascii="Times New Roman" w:eastAsia="Times New Roman"/>
                <w:sz w:val="24"/>
              </w:rPr>
              <w:t xml:space="preserve"> </w:t>
            </w:r>
            <w:r>
              <w:rPr>
                <w:sz w:val="24"/>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819" w:type="dxa"/>
          </w:tcPr>
          <w:p>
            <w:pPr>
              <w:pStyle w:val="14"/>
              <w:spacing w:before="103"/>
              <w:ind w:left="19"/>
              <w:jc w:val="center"/>
              <w:rPr>
                <w:rFonts w:ascii="Times New Roman"/>
                <w:sz w:val="24"/>
              </w:rPr>
            </w:pPr>
            <w:r>
              <w:rPr>
                <w:rFonts w:ascii="Times New Roman"/>
                <w:sz w:val="24"/>
              </w:rPr>
              <w:t>3</w:t>
            </w:r>
          </w:p>
        </w:tc>
        <w:tc>
          <w:tcPr>
            <w:tcW w:w="8507" w:type="dxa"/>
            <w:gridSpan w:val="6"/>
          </w:tcPr>
          <w:p>
            <w:pPr>
              <w:pStyle w:val="14"/>
              <w:spacing w:before="90"/>
              <w:ind w:left="111"/>
              <w:rPr>
                <w:sz w:val="24"/>
              </w:rPr>
            </w:pPr>
            <w:r>
              <w:rPr>
                <w:rFonts w:hint="eastAsia"/>
                <w:b/>
                <w:sz w:val="24"/>
              </w:rPr>
              <w:t>投</w:t>
            </w:r>
            <w:r>
              <w:rPr>
                <w:b/>
                <w:sz w:val="24"/>
              </w:rPr>
              <w:t>标保证金数额：</w:t>
            </w:r>
            <w:r>
              <w:rPr>
                <w:sz w:val="24"/>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819" w:type="dxa"/>
          </w:tcPr>
          <w:p>
            <w:pPr>
              <w:pStyle w:val="14"/>
              <w:spacing w:before="74"/>
              <w:ind w:left="19"/>
              <w:jc w:val="center"/>
              <w:rPr>
                <w:rFonts w:ascii="Times New Roman"/>
                <w:sz w:val="24"/>
              </w:rPr>
            </w:pPr>
            <w:r>
              <w:rPr>
                <w:rFonts w:ascii="Times New Roman"/>
                <w:sz w:val="24"/>
              </w:rPr>
              <w:t>4</w:t>
            </w:r>
          </w:p>
        </w:tc>
        <w:tc>
          <w:tcPr>
            <w:tcW w:w="8507" w:type="dxa"/>
            <w:gridSpan w:val="6"/>
          </w:tcPr>
          <w:p>
            <w:pPr>
              <w:pStyle w:val="14"/>
              <w:spacing w:before="60"/>
              <w:ind w:left="111"/>
              <w:rPr>
                <w:sz w:val="24"/>
              </w:rPr>
            </w:pPr>
            <w:r>
              <w:rPr>
                <w:rFonts w:hint="eastAsia"/>
                <w:b/>
                <w:sz w:val="24"/>
              </w:rPr>
              <w:t xml:space="preserve">投 </w:t>
            </w:r>
            <w:r>
              <w:rPr>
                <w:b/>
                <w:sz w:val="24"/>
              </w:rPr>
              <w:t>标文 件 份 数</w:t>
            </w:r>
            <w:r>
              <w:rPr>
                <w:sz w:val="24"/>
              </w:rPr>
              <w:t>：正本</w:t>
            </w:r>
            <w:r>
              <w:rPr>
                <w:sz w:val="24"/>
                <w:u w:val="single"/>
              </w:rPr>
              <w:t xml:space="preserve"> 壹 </w:t>
            </w:r>
            <w:r>
              <w:rPr>
                <w:sz w:val="24"/>
              </w:rPr>
              <w:t>份、副本</w:t>
            </w:r>
            <w:r>
              <w:rPr>
                <w:sz w:val="24"/>
                <w:u w:val="single"/>
              </w:rPr>
              <w:t xml:space="preserve"> 贰 </w:t>
            </w:r>
            <w:r>
              <w:rPr>
                <w:sz w:val="24"/>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6" w:hRule="atLeast"/>
        </w:trPr>
        <w:tc>
          <w:tcPr>
            <w:tcW w:w="819" w:type="dxa"/>
          </w:tcPr>
          <w:p>
            <w:pPr>
              <w:pStyle w:val="14"/>
              <w:rPr>
                <w:b/>
                <w:sz w:val="26"/>
              </w:rPr>
            </w:pPr>
          </w:p>
          <w:p>
            <w:pPr>
              <w:pStyle w:val="14"/>
              <w:spacing w:before="181"/>
              <w:ind w:left="19"/>
              <w:jc w:val="center"/>
              <w:rPr>
                <w:rFonts w:ascii="Times New Roman"/>
                <w:sz w:val="24"/>
              </w:rPr>
            </w:pPr>
            <w:r>
              <w:rPr>
                <w:rFonts w:ascii="Times New Roman"/>
                <w:sz w:val="24"/>
              </w:rPr>
              <w:t>5</w:t>
            </w:r>
          </w:p>
        </w:tc>
        <w:tc>
          <w:tcPr>
            <w:tcW w:w="8507" w:type="dxa"/>
            <w:gridSpan w:val="6"/>
          </w:tcPr>
          <w:p>
            <w:pPr>
              <w:pStyle w:val="14"/>
              <w:spacing w:before="184"/>
              <w:ind w:left="111"/>
              <w:rPr>
                <w:b/>
                <w:sz w:val="24"/>
              </w:rPr>
            </w:pPr>
            <w:r>
              <w:rPr>
                <w:rFonts w:hint="eastAsia"/>
                <w:b/>
                <w:sz w:val="24"/>
              </w:rPr>
              <w:t>投标</w:t>
            </w:r>
            <w:r>
              <w:rPr>
                <w:b/>
                <w:sz w:val="24"/>
              </w:rPr>
              <w:t>文件递交时间：</w:t>
            </w:r>
            <w:r>
              <w:rPr>
                <w:rFonts w:hint="eastAsia"/>
                <w:b/>
                <w:sz w:val="24"/>
              </w:rPr>
              <w:t>2022 年</w:t>
            </w:r>
            <w:r>
              <w:rPr>
                <w:rFonts w:hint="eastAsia"/>
                <w:b/>
                <w:sz w:val="24"/>
                <w:lang w:val="en-US" w:eastAsia="zh-CN"/>
              </w:rPr>
              <w:t xml:space="preserve">5 </w:t>
            </w:r>
            <w:r>
              <w:rPr>
                <w:rFonts w:hint="eastAsia"/>
                <w:b/>
                <w:sz w:val="24"/>
              </w:rPr>
              <w:t>月</w:t>
            </w:r>
            <w:r>
              <w:rPr>
                <w:rFonts w:hint="eastAsia"/>
                <w:b/>
                <w:sz w:val="24"/>
                <w:lang w:val="en-US" w:eastAsia="zh-CN"/>
              </w:rPr>
              <w:t>10</w:t>
            </w:r>
            <w:r>
              <w:rPr>
                <w:rFonts w:hint="eastAsia"/>
                <w:b/>
                <w:sz w:val="24"/>
              </w:rPr>
              <w:t xml:space="preserve">日 </w:t>
            </w:r>
            <w:r>
              <w:rPr>
                <w:rFonts w:hint="eastAsia"/>
                <w:b/>
                <w:sz w:val="24"/>
                <w:lang w:val="en-US"/>
              </w:rPr>
              <w:t>14</w:t>
            </w:r>
            <w:r>
              <w:rPr>
                <w:rFonts w:hint="eastAsia"/>
                <w:b/>
                <w:sz w:val="24"/>
              </w:rPr>
              <w:t xml:space="preserve"> 时</w:t>
            </w:r>
            <w:r>
              <w:rPr>
                <w:rFonts w:hint="eastAsia"/>
                <w:b/>
                <w:sz w:val="24"/>
                <w:lang w:val="en-US"/>
              </w:rPr>
              <w:t xml:space="preserve"> 00分</w:t>
            </w:r>
          </w:p>
          <w:p>
            <w:pPr>
              <w:pStyle w:val="14"/>
              <w:spacing w:before="9"/>
              <w:ind w:left="1071"/>
              <w:rPr>
                <w:b/>
                <w:sz w:val="24"/>
              </w:rPr>
            </w:pPr>
            <w:r>
              <w:rPr>
                <w:rFonts w:hint="eastAsia"/>
                <w:b/>
                <w:sz w:val="24"/>
              </w:rPr>
              <w:t>开</w:t>
            </w:r>
            <w:r>
              <w:rPr>
                <w:b/>
                <w:sz w:val="24"/>
              </w:rPr>
              <w:t>标时间：</w:t>
            </w:r>
            <w:r>
              <w:rPr>
                <w:rFonts w:hint="eastAsia"/>
                <w:b/>
                <w:sz w:val="24"/>
              </w:rPr>
              <w:t>2022 年</w:t>
            </w:r>
            <w:r>
              <w:rPr>
                <w:rFonts w:hint="eastAsia"/>
                <w:b/>
                <w:sz w:val="24"/>
                <w:lang w:val="en-US" w:eastAsia="zh-CN"/>
              </w:rPr>
              <w:t xml:space="preserve">5 </w:t>
            </w:r>
            <w:r>
              <w:rPr>
                <w:rFonts w:hint="eastAsia"/>
                <w:b/>
                <w:sz w:val="24"/>
              </w:rPr>
              <w:t>月</w:t>
            </w:r>
            <w:r>
              <w:rPr>
                <w:rFonts w:hint="eastAsia"/>
                <w:b/>
                <w:sz w:val="24"/>
                <w:lang w:val="en-US" w:eastAsia="zh-CN"/>
              </w:rPr>
              <w:t>10</w:t>
            </w:r>
            <w:r>
              <w:rPr>
                <w:rFonts w:hint="eastAsia"/>
                <w:b/>
                <w:sz w:val="24"/>
              </w:rPr>
              <w:t xml:space="preserve">日 </w:t>
            </w:r>
            <w:r>
              <w:rPr>
                <w:rFonts w:hint="eastAsia"/>
                <w:b/>
                <w:sz w:val="24"/>
                <w:lang w:val="en-US"/>
              </w:rPr>
              <w:t>14</w:t>
            </w:r>
            <w:r>
              <w:rPr>
                <w:rFonts w:hint="eastAsia"/>
                <w:b/>
                <w:sz w:val="24"/>
              </w:rPr>
              <w:t xml:space="preserve"> 时</w:t>
            </w:r>
            <w:r>
              <w:rPr>
                <w:rFonts w:hint="eastAsia"/>
                <w:b/>
                <w:sz w:val="24"/>
                <w:lang w:val="en-US"/>
              </w:rPr>
              <w:t xml:space="preserve"> 00分</w:t>
            </w:r>
          </w:p>
          <w:p>
            <w:pPr>
              <w:pStyle w:val="14"/>
              <w:spacing w:before="4"/>
              <w:ind w:left="111"/>
              <w:rPr>
                <w:b/>
                <w:sz w:val="24"/>
              </w:rPr>
            </w:pPr>
            <w:r>
              <w:rPr>
                <w:rFonts w:hint="eastAsia"/>
                <w:b/>
                <w:sz w:val="24"/>
              </w:rPr>
              <w:t>投标</w:t>
            </w:r>
            <w:r>
              <w:rPr>
                <w:b/>
                <w:sz w:val="24"/>
              </w:rPr>
              <w:t>文件递交地点、</w:t>
            </w:r>
            <w:r>
              <w:rPr>
                <w:rFonts w:hint="eastAsia"/>
                <w:b/>
                <w:sz w:val="24"/>
              </w:rPr>
              <w:t>开标</w:t>
            </w:r>
            <w:r>
              <w:rPr>
                <w:b/>
                <w:sz w:val="24"/>
              </w:rPr>
              <w:t>地点：萧山区</w:t>
            </w:r>
            <w:r>
              <w:rPr>
                <w:rFonts w:hint="eastAsia"/>
                <w:b/>
                <w:sz w:val="24"/>
                <w:lang w:val="en-US"/>
              </w:rPr>
              <w:t>北干</w:t>
            </w:r>
            <w:r>
              <w:rPr>
                <w:b/>
                <w:sz w:val="24"/>
              </w:rPr>
              <w:t>初级中学会议室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819" w:type="dxa"/>
          </w:tcPr>
          <w:p>
            <w:pPr>
              <w:pStyle w:val="14"/>
              <w:spacing w:before="143"/>
              <w:ind w:left="19"/>
              <w:jc w:val="center"/>
              <w:rPr>
                <w:rFonts w:ascii="Times New Roman"/>
                <w:sz w:val="24"/>
              </w:rPr>
            </w:pPr>
            <w:r>
              <w:rPr>
                <w:rFonts w:ascii="Times New Roman"/>
                <w:sz w:val="24"/>
              </w:rPr>
              <w:t>6</w:t>
            </w:r>
          </w:p>
        </w:tc>
        <w:tc>
          <w:tcPr>
            <w:tcW w:w="8507" w:type="dxa"/>
            <w:gridSpan w:val="6"/>
          </w:tcPr>
          <w:p>
            <w:pPr>
              <w:pStyle w:val="14"/>
              <w:spacing w:before="129"/>
              <w:ind w:left="111"/>
              <w:rPr>
                <w:sz w:val="24"/>
                <w:lang w:val="en-US"/>
              </w:rPr>
            </w:pPr>
            <w:r>
              <w:rPr>
                <w:b/>
                <w:sz w:val="24"/>
              </w:rPr>
              <w:t>资金来源</w:t>
            </w:r>
            <w:r>
              <w:rPr>
                <w:sz w:val="24"/>
              </w:rPr>
              <w:t>：</w:t>
            </w:r>
            <w:r>
              <w:rPr>
                <w:rFonts w:hint="eastAsia"/>
                <w:sz w:val="24"/>
                <w:u w:val="single"/>
                <w:lang w:val="en-US"/>
              </w:rPr>
              <w:t>专项补助资金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819" w:type="dxa"/>
          </w:tcPr>
          <w:p>
            <w:pPr>
              <w:pStyle w:val="14"/>
              <w:spacing w:before="136"/>
              <w:ind w:left="19"/>
              <w:jc w:val="center"/>
              <w:rPr>
                <w:rFonts w:ascii="Times New Roman"/>
                <w:sz w:val="24"/>
              </w:rPr>
            </w:pPr>
            <w:r>
              <w:rPr>
                <w:rFonts w:ascii="Times New Roman"/>
                <w:sz w:val="24"/>
              </w:rPr>
              <w:t>7</w:t>
            </w:r>
          </w:p>
        </w:tc>
        <w:tc>
          <w:tcPr>
            <w:tcW w:w="510" w:type="dxa"/>
            <w:tcBorders>
              <w:right w:val="nil"/>
            </w:tcBorders>
          </w:tcPr>
          <w:p>
            <w:pPr>
              <w:pStyle w:val="14"/>
              <w:spacing w:before="122"/>
              <w:ind w:left="111"/>
              <w:rPr>
                <w:b/>
                <w:sz w:val="24"/>
              </w:rPr>
            </w:pPr>
            <w:r>
              <w:rPr>
                <w:b/>
                <w:w w:val="97"/>
                <w:sz w:val="24"/>
              </w:rPr>
              <w:t>评</w:t>
            </w:r>
          </w:p>
        </w:tc>
        <w:tc>
          <w:tcPr>
            <w:tcW w:w="561" w:type="dxa"/>
            <w:tcBorders>
              <w:left w:val="nil"/>
              <w:right w:val="nil"/>
            </w:tcBorders>
          </w:tcPr>
          <w:p>
            <w:pPr>
              <w:pStyle w:val="14"/>
              <w:spacing w:before="122"/>
              <w:ind w:left="167"/>
              <w:rPr>
                <w:b/>
                <w:sz w:val="24"/>
              </w:rPr>
            </w:pPr>
            <w:r>
              <w:rPr>
                <w:b/>
                <w:w w:val="97"/>
                <w:sz w:val="24"/>
              </w:rPr>
              <w:t>审</w:t>
            </w:r>
          </w:p>
        </w:tc>
        <w:tc>
          <w:tcPr>
            <w:tcW w:w="561" w:type="dxa"/>
            <w:tcBorders>
              <w:left w:val="nil"/>
              <w:right w:val="nil"/>
            </w:tcBorders>
          </w:tcPr>
          <w:p>
            <w:pPr>
              <w:pStyle w:val="14"/>
              <w:spacing w:before="122"/>
              <w:ind w:left="165"/>
              <w:rPr>
                <w:b/>
                <w:sz w:val="24"/>
              </w:rPr>
            </w:pPr>
            <w:r>
              <w:rPr>
                <w:b/>
                <w:w w:val="97"/>
                <w:sz w:val="24"/>
              </w:rPr>
              <w:t>方</w:t>
            </w:r>
          </w:p>
        </w:tc>
        <w:tc>
          <w:tcPr>
            <w:tcW w:w="6875" w:type="dxa"/>
            <w:gridSpan w:val="3"/>
            <w:tcBorders>
              <w:left w:val="nil"/>
            </w:tcBorders>
          </w:tcPr>
          <w:p>
            <w:pPr>
              <w:pStyle w:val="14"/>
              <w:spacing w:before="122"/>
              <w:ind w:left="166"/>
              <w:rPr>
                <w:sz w:val="24"/>
              </w:rPr>
            </w:pPr>
            <w:r>
              <w:rPr>
                <w:b/>
                <w:sz w:val="24"/>
              </w:rPr>
              <w:t>法</w:t>
            </w:r>
            <w:r>
              <w:rPr>
                <w:sz w:val="24"/>
              </w:rPr>
              <w:t>：采用</w:t>
            </w:r>
            <w:r>
              <w:rPr>
                <w:sz w:val="24"/>
                <w:u w:val="single"/>
              </w:rPr>
              <w:t>综合评估法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6" w:hRule="atLeast"/>
        </w:trPr>
        <w:tc>
          <w:tcPr>
            <w:tcW w:w="819" w:type="dxa"/>
          </w:tcPr>
          <w:p>
            <w:pPr>
              <w:pStyle w:val="14"/>
              <w:spacing w:before="9"/>
              <w:rPr>
                <w:b/>
                <w:sz w:val="19"/>
              </w:rPr>
            </w:pPr>
          </w:p>
          <w:p>
            <w:pPr>
              <w:pStyle w:val="14"/>
              <w:ind w:left="19"/>
              <w:jc w:val="center"/>
              <w:rPr>
                <w:rFonts w:ascii="Times New Roman"/>
                <w:sz w:val="24"/>
              </w:rPr>
            </w:pPr>
            <w:r>
              <w:rPr>
                <w:rFonts w:ascii="Times New Roman"/>
                <w:sz w:val="24"/>
              </w:rPr>
              <w:t>8</w:t>
            </w:r>
          </w:p>
        </w:tc>
        <w:tc>
          <w:tcPr>
            <w:tcW w:w="8507" w:type="dxa"/>
            <w:gridSpan w:val="6"/>
          </w:tcPr>
          <w:p>
            <w:pPr>
              <w:pStyle w:val="14"/>
              <w:spacing w:before="8"/>
              <w:rPr>
                <w:b/>
                <w:sz w:val="18"/>
              </w:rPr>
            </w:pPr>
          </w:p>
          <w:p>
            <w:pPr>
              <w:pStyle w:val="14"/>
              <w:spacing w:before="1"/>
              <w:ind w:left="111"/>
              <w:rPr>
                <w:rFonts w:ascii="Times New Roman" w:eastAsia="Times New Roman"/>
                <w:sz w:val="24"/>
              </w:rPr>
            </w:pPr>
            <w:r>
              <w:rPr>
                <w:b/>
                <w:sz w:val="24"/>
              </w:rPr>
              <w:t>履 约 保 证 金</w:t>
            </w:r>
            <w:r>
              <w:rPr>
                <w:sz w:val="24"/>
              </w:rPr>
              <w:t xml:space="preserve">：成交金额的 </w:t>
            </w:r>
            <w:r>
              <w:rPr>
                <w:rFonts w:ascii="Times New Roman" w:eastAsia="Times New Roman"/>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2" w:hRule="atLeast"/>
        </w:trPr>
        <w:tc>
          <w:tcPr>
            <w:tcW w:w="819" w:type="dxa"/>
          </w:tcPr>
          <w:p>
            <w:pPr>
              <w:pStyle w:val="14"/>
              <w:rPr>
                <w:b/>
                <w:sz w:val="26"/>
              </w:rPr>
            </w:pPr>
          </w:p>
          <w:p>
            <w:pPr>
              <w:pStyle w:val="14"/>
              <w:rPr>
                <w:b/>
                <w:sz w:val="26"/>
              </w:rPr>
            </w:pPr>
          </w:p>
          <w:p>
            <w:pPr>
              <w:pStyle w:val="14"/>
              <w:rPr>
                <w:b/>
                <w:sz w:val="26"/>
              </w:rPr>
            </w:pPr>
          </w:p>
          <w:p>
            <w:pPr>
              <w:pStyle w:val="14"/>
              <w:rPr>
                <w:b/>
                <w:sz w:val="26"/>
              </w:rPr>
            </w:pPr>
          </w:p>
          <w:p>
            <w:pPr>
              <w:pStyle w:val="14"/>
              <w:rPr>
                <w:b/>
                <w:sz w:val="26"/>
              </w:rPr>
            </w:pPr>
          </w:p>
          <w:p>
            <w:pPr>
              <w:pStyle w:val="14"/>
              <w:spacing w:before="8"/>
              <w:rPr>
                <w:b/>
              </w:rPr>
            </w:pPr>
          </w:p>
          <w:p>
            <w:pPr>
              <w:pStyle w:val="14"/>
              <w:ind w:left="19"/>
              <w:jc w:val="center"/>
              <w:rPr>
                <w:rFonts w:ascii="Times New Roman"/>
                <w:sz w:val="24"/>
              </w:rPr>
            </w:pPr>
            <w:r>
              <w:rPr>
                <w:rFonts w:ascii="Times New Roman"/>
                <w:sz w:val="24"/>
              </w:rPr>
              <w:t>9</w:t>
            </w:r>
          </w:p>
        </w:tc>
        <w:tc>
          <w:tcPr>
            <w:tcW w:w="8507" w:type="dxa"/>
            <w:gridSpan w:val="6"/>
          </w:tcPr>
          <w:p>
            <w:pPr>
              <w:pStyle w:val="14"/>
              <w:spacing w:before="51" w:line="244" w:lineRule="auto"/>
              <w:ind w:left="111" w:right="84"/>
              <w:jc w:val="both"/>
              <w:rPr>
                <w:sz w:val="24"/>
              </w:rPr>
            </w:pPr>
            <w:r>
              <w:rPr>
                <w:spacing w:val="-5"/>
                <w:sz w:val="24"/>
              </w:rPr>
              <w:t>为贯彻落实新型冠状病毒肺炎防控工作，切实有效控制传染病，保障公众和</w:t>
            </w:r>
            <w:r>
              <w:rPr>
                <w:rFonts w:hint="eastAsia"/>
                <w:spacing w:val="-5"/>
                <w:sz w:val="24"/>
              </w:rPr>
              <w:t>招</w:t>
            </w:r>
            <w:r>
              <w:rPr>
                <w:spacing w:val="-5"/>
                <w:sz w:val="24"/>
              </w:rPr>
              <w:t>标涉及主体人员的身体健康，履行社会责任，维持必要的正常</w:t>
            </w:r>
            <w:r>
              <w:rPr>
                <w:rFonts w:hint="eastAsia"/>
                <w:spacing w:val="-5"/>
                <w:sz w:val="24"/>
              </w:rPr>
              <w:t>招</w:t>
            </w:r>
            <w:r>
              <w:rPr>
                <w:spacing w:val="-5"/>
                <w:sz w:val="24"/>
              </w:rPr>
              <w:t>投标活动，根据政府相关防控要求，对本次</w:t>
            </w:r>
            <w:r>
              <w:rPr>
                <w:rFonts w:hint="eastAsia"/>
                <w:spacing w:val="-5"/>
                <w:sz w:val="24"/>
              </w:rPr>
              <w:t>招</w:t>
            </w:r>
            <w:r>
              <w:rPr>
                <w:spacing w:val="-5"/>
                <w:sz w:val="24"/>
              </w:rPr>
              <w:t>标进行如下约定：</w:t>
            </w:r>
          </w:p>
          <w:p>
            <w:pPr>
              <w:pStyle w:val="14"/>
              <w:spacing w:before="4" w:line="303" w:lineRule="exact"/>
              <w:ind w:left="111"/>
              <w:rPr>
                <w:sz w:val="24"/>
              </w:rPr>
            </w:pPr>
            <w:r>
              <w:rPr>
                <w:rFonts w:ascii="Times New Roman" w:eastAsia="Times New Roman"/>
                <w:sz w:val="24"/>
              </w:rPr>
              <w:t>1</w:t>
            </w:r>
            <w:r>
              <w:rPr>
                <w:sz w:val="24"/>
              </w:rPr>
              <w:t>、要求参与本次</w:t>
            </w:r>
            <w:r>
              <w:rPr>
                <w:rFonts w:hint="eastAsia"/>
                <w:sz w:val="24"/>
              </w:rPr>
              <w:t>招</w:t>
            </w:r>
            <w:r>
              <w:rPr>
                <w:sz w:val="24"/>
              </w:rPr>
              <w:t>标活动的企业不能超过一人，必须指派无疫情接触史、身体健康且符合防控要求的人员参与</w:t>
            </w:r>
            <w:r>
              <w:rPr>
                <w:rFonts w:ascii="Times New Roman" w:eastAsia="Times New Roman"/>
                <w:sz w:val="24"/>
              </w:rPr>
              <w:t>(</w:t>
            </w:r>
            <w:r>
              <w:rPr>
                <w:sz w:val="24"/>
              </w:rPr>
              <w:t>必须有杭州健康绿码</w:t>
            </w:r>
            <w:r>
              <w:rPr>
                <w:rFonts w:ascii="Times New Roman" w:eastAsia="Times New Roman"/>
                <w:spacing w:val="-12"/>
                <w:sz w:val="24"/>
              </w:rPr>
              <w:t>)</w:t>
            </w:r>
            <w:r>
              <w:rPr>
                <w:spacing w:val="-8"/>
                <w:sz w:val="24"/>
              </w:rPr>
              <w:t>，且必须是企业法人或授权代表人，对不符合防控管理要求的人员，将谢绝进入</w:t>
            </w:r>
            <w:r>
              <w:rPr>
                <w:rFonts w:hint="eastAsia"/>
                <w:spacing w:val="-8"/>
                <w:sz w:val="24"/>
              </w:rPr>
              <w:t>开标</w:t>
            </w:r>
            <w:r>
              <w:rPr>
                <w:spacing w:val="-8"/>
                <w:sz w:val="24"/>
              </w:rPr>
              <w:t>场所参加</w:t>
            </w:r>
            <w:r>
              <w:rPr>
                <w:rFonts w:hint="eastAsia"/>
                <w:spacing w:val="-8"/>
                <w:sz w:val="24"/>
              </w:rPr>
              <w:t>开</w:t>
            </w:r>
            <w:r>
              <w:rPr>
                <w:spacing w:val="-8"/>
                <w:sz w:val="24"/>
              </w:rPr>
              <w:t xml:space="preserve">标活动。 </w:t>
            </w:r>
            <w:r>
              <w:rPr>
                <w:rFonts w:ascii="Times New Roman" w:eastAsia="Times New Roman"/>
                <w:spacing w:val="-8"/>
                <w:sz w:val="24"/>
              </w:rPr>
              <w:t>2</w:t>
            </w:r>
            <w:r>
              <w:rPr>
                <w:spacing w:val="-8"/>
                <w:sz w:val="24"/>
              </w:rPr>
              <w:t>、进入</w:t>
            </w:r>
            <w:r>
              <w:rPr>
                <w:rFonts w:hint="eastAsia"/>
                <w:spacing w:val="-8"/>
                <w:sz w:val="24"/>
              </w:rPr>
              <w:t>开</w:t>
            </w:r>
            <w:r>
              <w:rPr>
                <w:spacing w:val="-8"/>
                <w:sz w:val="24"/>
              </w:rPr>
              <w:t>标场所的供应商代表、代理从业人员、评审专家、</w:t>
            </w:r>
            <w:r>
              <w:rPr>
                <w:rFonts w:hint="eastAsia"/>
                <w:spacing w:val="-8"/>
                <w:sz w:val="24"/>
              </w:rPr>
              <w:t>招</w:t>
            </w:r>
            <w:r>
              <w:rPr>
                <w:spacing w:val="-8"/>
                <w:sz w:val="24"/>
              </w:rPr>
              <w:t>标人代表等</w:t>
            </w:r>
            <w:r>
              <w:rPr>
                <w:spacing w:val="-10"/>
                <w:sz w:val="24"/>
              </w:rPr>
              <w:t>人员必须持有杭州健康绿码，各</w:t>
            </w:r>
            <w:r>
              <w:rPr>
                <w:rFonts w:hint="eastAsia"/>
                <w:spacing w:val="-10"/>
                <w:sz w:val="24"/>
              </w:rPr>
              <w:t>招</w:t>
            </w:r>
            <w:r>
              <w:rPr>
                <w:spacing w:val="-10"/>
                <w:sz w:val="24"/>
              </w:rPr>
              <w:t>标活动相关单位应对本单位入场人员的健康状况</w:t>
            </w:r>
            <w:r>
              <w:rPr>
                <w:spacing w:val="-19"/>
                <w:sz w:val="24"/>
              </w:rPr>
              <w:t>和防疫措施落实情况严格把关。进入</w:t>
            </w:r>
            <w:r>
              <w:rPr>
                <w:rFonts w:hint="eastAsia"/>
                <w:spacing w:val="-19"/>
                <w:sz w:val="24"/>
              </w:rPr>
              <w:t>招标</w:t>
            </w:r>
            <w:r>
              <w:rPr>
                <w:spacing w:val="-19"/>
                <w:sz w:val="24"/>
              </w:rPr>
              <w:t>场所人员应携带《参与公共资源</w:t>
            </w:r>
            <w:r>
              <w:rPr>
                <w:rFonts w:hint="eastAsia"/>
                <w:spacing w:val="-19"/>
                <w:sz w:val="24"/>
              </w:rPr>
              <w:t>招</w:t>
            </w:r>
            <w:r>
              <w:rPr>
                <w:spacing w:val="-19"/>
                <w:sz w:val="24"/>
              </w:rPr>
              <w:t>投标活动健</w:t>
            </w:r>
            <w:r>
              <w:rPr>
                <w:spacing w:val="-20"/>
                <w:sz w:val="24"/>
              </w:rPr>
              <w:t>康承诺书》</w:t>
            </w:r>
            <w:r>
              <w:rPr>
                <w:sz w:val="24"/>
              </w:rPr>
              <w:t>（详见公开</w:t>
            </w:r>
            <w:r>
              <w:rPr>
                <w:rFonts w:hint="eastAsia"/>
                <w:sz w:val="24"/>
              </w:rPr>
              <w:t>招标</w:t>
            </w:r>
            <w:r>
              <w:rPr>
                <w:sz w:val="24"/>
              </w:rPr>
              <w:t>文件最后附件</w:t>
            </w:r>
            <w:r>
              <w:rPr>
                <w:spacing w:val="-22"/>
                <w:sz w:val="24"/>
              </w:rPr>
              <w:t>）</w:t>
            </w:r>
            <w:r>
              <w:rPr>
                <w:spacing w:val="-11"/>
                <w:sz w:val="24"/>
              </w:rPr>
              <w:t>、居民身份证，做好佩戴口罩等个人防</w:t>
            </w:r>
            <w:r>
              <w:rPr>
                <w:spacing w:val="-15"/>
                <w:sz w:val="24"/>
              </w:rPr>
              <w:t>护措施，预留足够时间提前到达，配合场所工作人员做好杭州健康绿码查验、体温检</w:t>
            </w:r>
            <w:r>
              <w:rPr>
                <w:spacing w:val="-12"/>
                <w:sz w:val="24"/>
              </w:rPr>
              <w:t>测、实名登记等防控工作。进入</w:t>
            </w:r>
            <w:r>
              <w:rPr>
                <w:rFonts w:hint="eastAsia"/>
                <w:spacing w:val="-12"/>
                <w:sz w:val="24"/>
              </w:rPr>
              <w:t>招标</w:t>
            </w:r>
            <w:r>
              <w:rPr>
                <w:spacing w:val="-12"/>
                <w:sz w:val="24"/>
              </w:rPr>
              <w:t>场所后，应尽量分散等候、隔空就坐、</w:t>
            </w:r>
            <w:r>
              <w:rPr>
                <w:rFonts w:hint="eastAsia"/>
                <w:spacing w:val="-12"/>
                <w:sz w:val="24"/>
              </w:rPr>
              <w:t>投</w:t>
            </w:r>
            <w:r>
              <w:rPr>
                <w:spacing w:val="-12"/>
                <w:sz w:val="24"/>
              </w:rPr>
              <w:t>标文件</w:t>
            </w:r>
            <w:r>
              <w:rPr>
                <w:sz w:val="24"/>
              </w:rPr>
              <w:t>递交后服从现场管理人员安排，不得在</w:t>
            </w:r>
            <w:r>
              <w:rPr>
                <w:rFonts w:hint="eastAsia"/>
                <w:sz w:val="24"/>
              </w:rPr>
              <w:t>招</w:t>
            </w:r>
            <w:r>
              <w:rPr>
                <w:sz w:val="24"/>
              </w:rPr>
              <w:t>标现场聚集。</w:t>
            </w:r>
          </w:p>
        </w:tc>
      </w:tr>
    </w:tbl>
    <w:p>
      <w:pPr>
        <w:pStyle w:val="8"/>
        <w:spacing w:before="3" w:line="244" w:lineRule="auto"/>
        <w:ind w:left="438" w:right="949"/>
      </w:pPr>
      <w:r>
        <w:t>注：公开</w:t>
      </w:r>
      <w:r>
        <w:rPr>
          <w:rFonts w:hint="eastAsia"/>
        </w:rPr>
        <w:t>招</w:t>
      </w:r>
      <w:r>
        <w:t>标文件中打★内容为实质性要求，不允许有负偏离，否则将以涉及无效响应条款作无效响应。</w:t>
      </w:r>
    </w:p>
    <w:p>
      <w:pPr>
        <w:spacing w:line="244" w:lineRule="auto"/>
        <w:sectPr>
          <w:pgSz w:w="11910" w:h="16840"/>
          <w:pgMar w:top="1260" w:right="420" w:bottom="1220" w:left="980" w:header="887" w:footer="1039" w:gutter="0"/>
          <w:cols w:space="720" w:num="1"/>
        </w:sectPr>
      </w:pPr>
    </w:p>
    <w:p>
      <w:pPr>
        <w:pStyle w:val="3"/>
      </w:pPr>
      <w:bookmarkStart w:id="9" w:name="第一节供应商须知之通用条款"/>
      <w:bookmarkEnd w:id="9"/>
      <w:bookmarkStart w:id="10" w:name="_Toc5198065"/>
      <w:bookmarkStart w:id="11" w:name="_Toc523909740"/>
      <w:bookmarkStart w:id="12" w:name="_Toc331323739"/>
      <w:r>
        <w:rPr>
          <w:rFonts w:hint="eastAsia"/>
        </w:rPr>
        <w:t>第一节  投标人须知之通用条款</w:t>
      </w:r>
      <w:bookmarkEnd w:id="10"/>
      <w:bookmarkEnd w:id="11"/>
      <w:bookmarkEnd w:id="12"/>
    </w:p>
    <w:p>
      <w:pPr>
        <w:pStyle w:val="4"/>
      </w:pPr>
      <w:bookmarkStart w:id="13" w:name="_Hlt74714665"/>
      <w:bookmarkEnd w:id="13"/>
      <w:bookmarkStart w:id="14" w:name="_Hlt74730295"/>
      <w:bookmarkEnd w:id="14"/>
      <w:bookmarkStart w:id="15" w:name="_Toc5198066"/>
      <w:bookmarkStart w:id="16" w:name="_Toc523909741"/>
      <w:bookmarkStart w:id="17" w:name="_Toc91899872"/>
      <w:bookmarkStart w:id="18" w:name="_Hlt74730208"/>
      <w:bookmarkStart w:id="19" w:name="_Hlt74730112"/>
      <w:r>
        <w:rPr>
          <w:rFonts w:hint="eastAsia"/>
        </w:rPr>
        <w:t>一、总则</w:t>
      </w:r>
      <w:bookmarkEnd w:id="15"/>
      <w:bookmarkEnd w:id="16"/>
    </w:p>
    <w:p>
      <w:pPr>
        <w:spacing w:line="360" w:lineRule="auto"/>
        <w:ind w:firstLine="482" w:firstLineChars="200"/>
        <w:rPr>
          <w:b/>
          <w:sz w:val="24"/>
        </w:rPr>
      </w:pPr>
      <w:r>
        <w:rPr>
          <w:rFonts w:hint="eastAsia"/>
          <w:b/>
          <w:sz w:val="24"/>
        </w:rPr>
        <w:t>1.项目说明</w:t>
      </w:r>
      <w:bookmarkEnd w:id="17"/>
    </w:p>
    <w:p>
      <w:pPr>
        <w:spacing w:line="360" w:lineRule="auto"/>
        <w:ind w:firstLine="480" w:firstLineChars="200"/>
        <w:rPr>
          <w:sz w:val="24"/>
        </w:rPr>
      </w:pPr>
      <w:r>
        <w:rPr>
          <w:rFonts w:hint="eastAsia"/>
          <w:sz w:val="24"/>
        </w:rPr>
        <w:t>1.1项目说明见投标人须知前附表第1项所述。</w:t>
      </w:r>
    </w:p>
    <w:p>
      <w:pPr>
        <w:spacing w:line="360" w:lineRule="auto"/>
        <w:ind w:firstLine="480" w:firstLineChars="200"/>
        <w:rPr>
          <w:sz w:val="24"/>
        </w:rPr>
      </w:pPr>
      <w:r>
        <w:rPr>
          <w:rFonts w:hint="eastAsia"/>
          <w:sz w:val="24"/>
        </w:rPr>
        <w:t>1.2采购本项目的单位为采购人，受采购人委托组织实施本次采购的单位为招标组织机构，自愿参加本次项目投标的公司等为投标人，经评审产生并经中标公告的投标人为中标人，签订合同后的中标人为供应商（合同中的乙方）。</w:t>
      </w:r>
    </w:p>
    <w:p>
      <w:pPr>
        <w:spacing w:line="360" w:lineRule="auto"/>
        <w:ind w:firstLine="480" w:firstLineChars="200"/>
        <w:rPr>
          <w:sz w:val="24"/>
        </w:rPr>
      </w:pPr>
      <w:r>
        <w:rPr>
          <w:rFonts w:hint="eastAsia"/>
          <w:sz w:val="24"/>
        </w:rPr>
        <w:t>1.3投标人一旦参与本次招标活动，即被视为接受了本招标文件的所有内容，如有任何异议，均已在法定时间内提出。</w:t>
      </w:r>
    </w:p>
    <w:p>
      <w:pPr>
        <w:spacing w:line="360" w:lineRule="auto"/>
        <w:ind w:firstLine="480" w:firstLineChars="200"/>
        <w:rPr>
          <w:sz w:val="24"/>
        </w:rPr>
      </w:pPr>
      <w:r>
        <w:rPr>
          <w:rFonts w:hint="eastAsia"/>
          <w:sz w:val="24"/>
        </w:rPr>
        <w:t>1.4投标人须对所投产品、方案、技术、服务等拥有合法的占有和处置权，并对涉及项目的所有内容可能侵权行为指控负责，保证不伤害采购人的利益，给采购人造成损失的，</w:t>
      </w:r>
      <w:r>
        <w:rPr>
          <w:rFonts w:hint="eastAsia"/>
        </w:rPr>
        <w:t>投标人</w:t>
      </w:r>
      <w:r>
        <w:rPr>
          <w:rFonts w:hint="eastAsia"/>
          <w:sz w:val="24"/>
        </w:rPr>
        <w:t>应承担相应后果，并负责赔偿。在法律范围内，采购人对上述可能的侵权行为概不负责。供应商为执行本项目合同而提供的技术资料等归采购人所有。</w:t>
      </w:r>
    </w:p>
    <w:p>
      <w:pPr>
        <w:spacing w:line="360" w:lineRule="auto"/>
        <w:ind w:firstLine="482" w:firstLineChars="200"/>
        <w:rPr>
          <w:b/>
          <w:sz w:val="24"/>
        </w:rPr>
      </w:pPr>
      <w:bookmarkStart w:id="20" w:name="_Toc91899873"/>
      <w:r>
        <w:rPr>
          <w:rFonts w:hint="eastAsia"/>
          <w:b/>
          <w:sz w:val="24"/>
        </w:rPr>
        <w:t>2.采购方式</w:t>
      </w:r>
      <w:bookmarkEnd w:id="20"/>
    </w:p>
    <w:p>
      <w:pPr>
        <w:spacing w:line="360" w:lineRule="auto"/>
        <w:ind w:firstLine="480" w:firstLineChars="200"/>
        <w:rPr>
          <w:sz w:val="24"/>
        </w:rPr>
      </w:pPr>
      <w:r>
        <w:rPr>
          <w:rFonts w:hint="eastAsia"/>
          <w:sz w:val="24"/>
        </w:rPr>
        <w:t>公开招标。</w:t>
      </w:r>
      <w:bookmarkEnd w:id="18"/>
      <w:bookmarkEnd w:id="19"/>
      <w:bookmarkStart w:id="21" w:name="_Hlt68516771"/>
      <w:bookmarkEnd w:id="21"/>
      <w:bookmarkStart w:id="22" w:name="_Hlt74388212"/>
      <w:bookmarkEnd w:id="22"/>
    </w:p>
    <w:p>
      <w:pPr>
        <w:spacing w:line="360" w:lineRule="auto"/>
        <w:ind w:firstLine="482" w:firstLineChars="200"/>
        <w:rPr>
          <w:b/>
          <w:sz w:val="24"/>
        </w:rPr>
      </w:pPr>
      <w:bookmarkStart w:id="23" w:name="_Toc91899876"/>
      <w:bookmarkStart w:id="24" w:name="_Hlt74730301"/>
      <w:r>
        <w:rPr>
          <w:rFonts w:hint="eastAsia"/>
          <w:b/>
          <w:sz w:val="24"/>
        </w:rPr>
        <w:t>3.投标人应具备的资格要求</w:t>
      </w:r>
      <w:bookmarkEnd w:id="23"/>
      <w:bookmarkEnd w:id="24"/>
      <w:bookmarkStart w:id="25" w:name="_Toc91899877"/>
      <w:bookmarkStart w:id="26" w:name="_Hlt74730303"/>
    </w:p>
    <w:p>
      <w:pPr>
        <w:spacing w:line="360" w:lineRule="auto"/>
        <w:ind w:firstLine="480" w:firstLineChars="200"/>
        <w:rPr>
          <w:sz w:val="24"/>
        </w:rPr>
      </w:pPr>
      <w:r>
        <w:rPr>
          <w:rFonts w:hint="eastAsia"/>
          <w:sz w:val="24"/>
        </w:rPr>
        <w:t>见本招标文件第一部分“招标公告”第四条。</w:t>
      </w:r>
    </w:p>
    <w:p>
      <w:pPr>
        <w:spacing w:line="360" w:lineRule="auto"/>
        <w:ind w:firstLine="482" w:firstLineChars="200"/>
        <w:rPr>
          <w:b/>
          <w:sz w:val="24"/>
        </w:rPr>
      </w:pPr>
      <w:r>
        <w:rPr>
          <w:rFonts w:hint="eastAsia"/>
          <w:b/>
          <w:sz w:val="24"/>
        </w:rPr>
        <w:t>4.定义</w:t>
      </w:r>
    </w:p>
    <w:p>
      <w:pPr>
        <w:spacing w:line="360" w:lineRule="auto"/>
        <w:ind w:firstLine="480" w:firstLineChars="200"/>
        <w:rPr>
          <w:sz w:val="24"/>
        </w:rPr>
      </w:pPr>
      <w:r>
        <w:rPr>
          <w:rFonts w:hint="eastAsia"/>
          <w:sz w:val="24"/>
        </w:rPr>
        <w:t>4.1货物</w:t>
      </w:r>
    </w:p>
    <w:p>
      <w:pPr>
        <w:spacing w:line="360" w:lineRule="auto"/>
        <w:ind w:firstLine="480" w:firstLineChars="200"/>
        <w:rPr>
          <w:sz w:val="24"/>
        </w:rPr>
      </w:pPr>
      <w:r>
        <w:rPr>
          <w:rFonts w:hint="eastAsia"/>
          <w:sz w:val="24"/>
        </w:rPr>
        <w:t>系指供方按招标文件规定，须向采购人提供的一切设备、备品备件、工具、手册及其它有关技术资料和材料。</w:t>
      </w:r>
    </w:p>
    <w:p>
      <w:pPr>
        <w:spacing w:line="360" w:lineRule="auto"/>
        <w:ind w:firstLine="480" w:firstLineChars="200"/>
        <w:rPr>
          <w:sz w:val="24"/>
        </w:rPr>
      </w:pPr>
      <w:r>
        <w:rPr>
          <w:rFonts w:hint="eastAsia"/>
          <w:sz w:val="24"/>
        </w:rPr>
        <w:t>4.2服务</w:t>
      </w:r>
    </w:p>
    <w:p>
      <w:pPr>
        <w:spacing w:line="360" w:lineRule="auto"/>
        <w:ind w:firstLine="480" w:firstLineChars="200"/>
        <w:rPr>
          <w:sz w:val="24"/>
        </w:rPr>
      </w:pPr>
      <w:r>
        <w:rPr>
          <w:rFonts w:hint="eastAsia"/>
          <w:sz w:val="24"/>
        </w:rPr>
        <w:t>系指合同规定供应商须承担的运输、装卸、仓储、安装、调试、验收、技术支持、校准、培训、技术指导等类似义务及交付使用后，质保期内应履行的售后服务等义务。</w:t>
      </w:r>
    </w:p>
    <w:p>
      <w:pPr>
        <w:spacing w:line="360" w:lineRule="auto"/>
        <w:ind w:firstLine="482" w:firstLineChars="200"/>
        <w:rPr>
          <w:b/>
          <w:sz w:val="24"/>
        </w:rPr>
      </w:pPr>
      <w:r>
        <w:rPr>
          <w:rFonts w:hint="eastAsia"/>
          <w:b/>
          <w:sz w:val="24"/>
        </w:rPr>
        <w:t>5.投标费用</w:t>
      </w:r>
      <w:bookmarkEnd w:id="25"/>
    </w:p>
    <w:bookmarkEnd w:id="26"/>
    <w:p>
      <w:pPr>
        <w:spacing w:line="360" w:lineRule="auto"/>
        <w:ind w:firstLine="480" w:firstLineChars="200"/>
        <w:rPr>
          <w:sz w:val="24"/>
        </w:rPr>
      </w:pPr>
      <w:r>
        <w:rPr>
          <w:rFonts w:hint="eastAsia"/>
          <w:sz w:val="24"/>
        </w:rPr>
        <w:t>投标人需自行承担涉及投标的一切费用。</w:t>
      </w:r>
    </w:p>
    <w:p>
      <w:pPr>
        <w:spacing w:line="360" w:lineRule="auto"/>
        <w:ind w:firstLine="480" w:firstLineChars="200"/>
        <w:rPr>
          <w:sz w:val="24"/>
        </w:rPr>
      </w:pPr>
      <w:r>
        <w:rPr>
          <w:sz w:val="24"/>
        </w:rPr>
        <w:br w:type="page"/>
      </w:r>
    </w:p>
    <w:p>
      <w:pPr>
        <w:pStyle w:val="4"/>
      </w:pPr>
      <w:bookmarkStart w:id="27" w:name="_Hlt75236290"/>
      <w:bookmarkEnd w:id="27"/>
      <w:bookmarkStart w:id="28" w:name="_Hlt68072990"/>
      <w:bookmarkEnd w:id="28"/>
      <w:bookmarkStart w:id="29" w:name="_Hlt74707468"/>
      <w:bookmarkEnd w:id="29"/>
      <w:bookmarkStart w:id="30" w:name="_Hlt68057669"/>
      <w:bookmarkEnd w:id="30"/>
      <w:bookmarkStart w:id="31" w:name="_Hlt74729768"/>
      <w:bookmarkEnd w:id="31"/>
      <w:bookmarkStart w:id="32" w:name="_Toc91899879"/>
      <w:bookmarkStart w:id="33" w:name="_Toc5198067"/>
      <w:bookmarkStart w:id="34" w:name="_Toc523909742"/>
      <w:r>
        <w:rPr>
          <w:rFonts w:hint="eastAsia"/>
        </w:rPr>
        <w:t>二、招标文件</w:t>
      </w:r>
      <w:bookmarkEnd w:id="32"/>
      <w:bookmarkEnd w:id="33"/>
      <w:bookmarkEnd w:id="34"/>
    </w:p>
    <w:p>
      <w:pPr>
        <w:spacing w:line="360" w:lineRule="auto"/>
        <w:ind w:firstLine="482" w:firstLineChars="200"/>
        <w:rPr>
          <w:b/>
          <w:sz w:val="24"/>
        </w:rPr>
      </w:pPr>
      <w:bookmarkStart w:id="35" w:name="_Toc91899880"/>
      <w:bookmarkStart w:id="36" w:name="_Hlt74730307"/>
      <w:r>
        <w:rPr>
          <w:rFonts w:hint="eastAsia"/>
          <w:b/>
          <w:sz w:val="24"/>
        </w:rPr>
        <w:t>6.招标文件的构成</w:t>
      </w:r>
      <w:bookmarkEnd w:id="35"/>
    </w:p>
    <w:bookmarkEnd w:id="36"/>
    <w:p>
      <w:pPr>
        <w:spacing w:line="360" w:lineRule="auto"/>
        <w:ind w:firstLine="480" w:firstLineChars="200"/>
        <w:rPr>
          <w:sz w:val="24"/>
        </w:rPr>
      </w:pPr>
      <w:r>
        <w:rPr>
          <w:rFonts w:hint="eastAsia"/>
          <w:sz w:val="24"/>
        </w:rPr>
        <w:t>投标人应认真审阅招标文件中所有的内容，包括投标人注意事项、招标公告、投标人须知、采购需求、投标文件格式及其附件、合同等。如果投标人编制的投标文件实质上不响应招标文件的要求，其投标将被认定为</w:t>
      </w:r>
      <w:r>
        <w:rPr>
          <w:rFonts w:hint="eastAsia" w:ascii="黑体" w:eastAsia="黑体"/>
          <w:sz w:val="24"/>
          <w:u w:val="dotted"/>
        </w:rPr>
        <w:t>无效投标</w:t>
      </w:r>
      <w:r>
        <w:rPr>
          <w:rFonts w:hint="eastAsia"/>
          <w:sz w:val="24"/>
        </w:rPr>
        <w:t>。</w:t>
      </w:r>
    </w:p>
    <w:p>
      <w:pPr>
        <w:spacing w:line="360" w:lineRule="auto"/>
        <w:ind w:firstLine="482" w:firstLineChars="200"/>
        <w:rPr>
          <w:b/>
          <w:sz w:val="24"/>
        </w:rPr>
      </w:pPr>
      <w:r>
        <w:rPr>
          <w:rFonts w:hint="eastAsia"/>
          <w:b/>
          <w:sz w:val="24"/>
        </w:rPr>
        <w:t>7.招标文件的解释</w:t>
      </w:r>
    </w:p>
    <w:p>
      <w:pPr>
        <w:spacing w:line="360" w:lineRule="auto"/>
        <w:ind w:firstLine="480" w:firstLineChars="200"/>
        <w:rPr>
          <w:sz w:val="24"/>
        </w:rPr>
      </w:pPr>
      <w:r>
        <w:rPr>
          <w:rFonts w:hint="eastAsia"/>
          <w:sz w:val="24"/>
        </w:rPr>
        <w:t>7.1已获取招标文件的潜在投标人，若有问题需要询问，应以书面形式送达招标组织机构或采购人。采购人与招标组织机构经研究，对确需回答的问题，将以书面形式对有关问题进行解答。</w:t>
      </w:r>
    </w:p>
    <w:p>
      <w:pPr>
        <w:spacing w:line="360" w:lineRule="auto"/>
        <w:ind w:firstLine="480" w:firstLineChars="200"/>
        <w:rPr>
          <w:sz w:val="24"/>
        </w:rPr>
      </w:pPr>
      <w:r>
        <w:rPr>
          <w:rFonts w:hint="eastAsia"/>
          <w:sz w:val="24"/>
        </w:rPr>
        <w:t>7.2不论招标组织机构向投标人发送的资料文件，还是对投标人提出的问题，均采用书面形式，口头答复一律无效。</w:t>
      </w:r>
    </w:p>
    <w:p>
      <w:pPr>
        <w:spacing w:line="360" w:lineRule="auto"/>
        <w:ind w:firstLine="480" w:firstLineChars="200"/>
        <w:rPr>
          <w:sz w:val="24"/>
        </w:rPr>
      </w:pPr>
      <w:r>
        <w:rPr>
          <w:rFonts w:hint="eastAsia"/>
          <w:sz w:val="24"/>
        </w:rPr>
        <w:t>7.3招标组织机构视招标项目的具体情况，组织全部潜在的投标人进行现场考察或召开答疑会的，时间另行通知。</w:t>
      </w:r>
    </w:p>
    <w:p>
      <w:pPr>
        <w:spacing w:line="360" w:lineRule="auto"/>
        <w:ind w:firstLine="354" w:firstLineChars="147"/>
        <w:rPr>
          <w:b/>
          <w:sz w:val="24"/>
        </w:rPr>
      </w:pPr>
      <w:r>
        <w:rPr>
          <w:rFonts w:hint="eastAsia"/>
          <w:b/>
          <w:sz w:val="24"/>
        </w:rPr>
        <w:t>8.招标文件的修改</w:t>
      </w:r>
    </w:p>
    <w:p>
      <w:pPr>
        <w:spacing w:line="360" w:lineRule="auto"/>
        <w:ind w:firstLine="360" w:firstLineChars="150"/>
        <w:rPr>
          <w:sz w:val="24"/>
        </w:rPr>
      </w:pPr>
      <w:r>
        <w:rPr>
          <w:rFonts w:hint="eastAsia"/>
          <w:sz w:val="24"/>
        </w:rPr>
        <w:t xml:space="preserve">8.1从招标文件发出至投标截止日前五个工作日，招标组织机构可能会对已发出的招标文件进行澄清、答复、修改或补充，该内容为招标文件的组成部分 </w:t>
      </w:r>
    </w:p>
    <w:p>
      <w:pPr>
        <w:spacing w:line="360" w:lineRule="auto"/>
        <w:ind w:firstLine="480" w:firstLineChars="200"/>
        <w:rPr>
          <w:sz w:val="24"/>
        </w:rPr>
      </w:pPr>
      <w:r>
        <w:rPr>
          <w:rFonts w:hint="eastAsia"/>
          <w:sz w:val="24"/>
        </w:rPr>
        <w:t>8.2招标文件澄清、答复、修改或补充都应通过招标组织机构发布，采购人非通过招标组织机构，不得擅自澄清、答复、修改或补充招标文件。</w:t>
      </w:r>
    </w:p>
    <w:p>
      <w:pPr>
        <w:spacing w:line="360" w:lineRule="auto"/>
        <w:ind w:firstLine="480" w:firstLineChars="200"/>
        <w:rPr>
          <w:sz w:val="24"/>
        </w:rPr>
      </w:pPr>
      <w:r>
        <w:rPr>
          <w:rFonts w:hint="eastAsia"/>
          <w:sz w:val="24"/>
        </w:rPr>
        <w:t>8.3采购人可以视采购具体情况，延长投标截止时间和开标时间，并在招标文件要求提交投标文件的截止时间前，书面通知各投标人。</w:t>
      </w:r>
    </w:p>
    <w:p>
      <w:pPr>
        <w:spacing w:line="360" w:lineRule="auto"/>
        <w:ind w:firstLine="482" w:firstLineChars="200"/>
        <w:rPr>
          <w:b/>
          <w:sz w:val="24"/>
        </w:rPr>
      </w:pPr>
      <w:r>
        <w:rPr>
          <w:rFonts w:hint="eastAsia"/>
          <w:b/>
          <w:sz w:val="24"/>
        </w:rPr>
        <w:t>9.投标报价及供货</w:t>
      </w:r>
    </w:p>
    <w:p>
      <w:pPr>
        <w:spacing w:line="360" w:lineRule="auto"/>
        <w:ind w:firstLine="480" w:firstLineChars="200"/>
        <w:rPr>
          <w:sz w:val="24"/>
        </w:rPr>
      </w:pPr>
      <w:r>
        <w:rPr>
          <w:rFonts w:hint="eastAsia"/>
          <w:sz w:val="24"/>
        </w:rPr>
        <w:t>9.1投标报价</w:t>
      </w:r>
    </w:p>
    <w:p>
      <w:pPr>
        <w:spacing w:line="360" w:lineRule="auto"/>
        <w:ind w:firstLine="480" w:firstLineChars="200"/>
        <w:rPr>
          <w:sz w:val="24"/>
        </w:rPr>
      </w:pPr>
      <w:r>
        <w:rPr>
          <w:rFonts w:hint="eastAsia"/>
          <w:sz w:val="24"/>
        </w:rPr>
        <w:t>投标人的报价是投标人响应招标项目要求的全部工作内容的价格体现，包括投标人完成本项目所需的一切费用。投标报价应是唯一的,任何有选择或有条件的报价将不予接受。</w:t>
      </w:r>
    </w:p>
    <w:p>
      <w:pPr>
        <w:spacing w:line="360" w:lineRule="auto"/>
        <w:ind w:firstLine="480" w:firstLineChars="200"/>
        <w:rPr>
          <w:sz w:val="24"/>
        </w:rPr>
      </w:pPr>
      <w:r>
        <w:rPr>
          <w:rFonts w:hint="eastAsia"/>
          <w:sz w:val="24"/>
        </w:rPr>
        <w:t>9.2其它费用处理</w:t>
      </w:r>
    </w:p>
    <w:p>
      <w:pPr>
        <w:spacing w:line="360" w:lineRule="auto"/>
        <w:ind w:firstLine="480" w:firstLineChars="200"/>
        <w:rPr>
          <w:sz w:val="24"/>
        </w:rPr>
      </w:pPr>
      <w:r>
        <w:rPr>
          <w:rFonts w:hint="eastAsia"/>
          <w:sz w:val="24"/>
        </w:rPr>
        <w:t>招标文件未列明，而投标人认为必需的费用也需列入报价。</w:t>
      </w:r>
      <w:r>
        <w:rPr>
          <w:rFonts w:hint="eastAsia" w:ascii="宋体" w:hAnsi="宋体" w:cs="宋体"/>
          <w:spacing w:val="-6"/>
          <w:sz w:val="24"/>
        </w:rPr>
        <w:t>本项目的代理服务费和评审费由成交供应商支付。其中专家评审费按文件实际支出计取（专家评审费不提供发票，只提供专家评审费领取表）</w:t>
      </w:r>
      <w:r>
        <w:rPr>
          <w:rFonts w:hint="eastAsia" w:ascii="宋体" w:hAnsi="宋体" w:cs="宋体"/>
          <w:spacing w:val="-6"/>
          <w:sz w:val="24"/>
          <w:lang w:eastAsia="zh-CN"/>
        </w:rPr>
        <w:t>，</w:t>
      </w:r>
      <w:r>
        <w:rPr>
          <w:rFonts w:hint="eastAsia" w:ascii="宋体" w:hAnsi="宋体" w:cs="宋体"/>
          <w:spacing w:val="-6"/>
          <w:sz w:val="24"/>
        </w:rPr>
        <w:t>代理服务费计费标准：以成交金额为计费基准，按计价格[2002]1980号文规定的收费标准计取，不足</w:t>
      </w:r>
      <w:r>
        <w:rPr>
          <w:rFonts w:hint="eastAsia" w:cs="宋体"/>
          <w:spacing w:val="-6"/>
          <w:sz w:val="24"/>
          <w:lang w:val="en-US" w:eastAsia="zh-CN"/>
        </w:rPr>
        <w:t>4</w:t>
      </w:r>
      <w:r>
        <w:rPr>
          <w:rFonts w:hint="eastAsia" w:ascii="宋体" w:hAnsi="宋体" w:cs="宋体"/>
          <w:spacing w:val="-6"/>
          <w:sz w:val="24"/>
        </w:rPr>
        <w:t>000元按</w:t>
      </w:r>
      <w:r>
        <w:rPr>
          <w:rFonts w:hint="eastAsia" w:cs="宋体"/>
          <w:spacing w:val="-6"/>
          <w:sz w:val="24"/>
          <w:lang w:val="en-US" w:eastAsia="zh-CN"/>
        </w:rPr>
        <w:t>4</w:t>
      </w:r>
      <w:r>
        <w:rPr>
          <w:rFonts w:hint="eastAsia" w:ascii="宋体" w:hAnsi="宋体" w:cs="宋体"/>
          <w:spacing w:val="-6"/>
          <w:sz w:val="24"/>
        </w:rPr>
        <w:t>000元计。结算方式及时间为：成交供应商在领取成交通知书前向代理机构支付代理服务费和评审费</w:t>
      </w:r>
      <w:r>
        <w:rPr>
          <w:rFonts w:hint="eastAsia"/>
          <w:sz w:val="24"/>
        </w:rPr>
        <w:t>。</w:t>
      </w:r>
    </w:p>
    <w:p>
      <w:pPr>
        <w:spacing w:line="360" w:lineRule="auto"/>
        <w:ind w:firstLine="480" w:firstLineChars="200"/>
        <w:rPr>
          <w:sz w:val="24"/>
        </w:rPr>
      </w:pPr>
      <w:r>
        <w:rPr>
          <w:rFonts w:hint="eastAsia"/>
          <w:sz w:val="24"/>
        </w:rPr>
        <w:t>9.3投标货币</w:t>
      </w:r>
    </w:p>
    <w:p>
      <w:pPr>
        <w:spacing w:line="360" w:lineRule="auto"/>
        <w:ind w:firstLine="480" w:firstLineChars="200"/>
        <w:rPr>
          <w:sz w:val="24"/>
        </w:rPr>
      </w:pPr>
      <w:r>
        <w:rPr>
          <w:rFonts w:hint="eastAsia"/>
          <w:sz w:val="24"/>
        </w:rPr>
        <w:t>投标文件中的单价和总价全部采用人民币报价。</w:t>
      </w:r>
    </w:p>
    <w:p>
      <w:pPr>
        <w:spacing w:line="360" w:lineRule="auto"/>
        <w:ind w:firstLine="480" w:firstLineChars="200"/>
        <w:rPr>
          <w:sz w:val="24"/>
        </w:rPr>
      </w:pPr>
      <w:r>
        <w:rPr>
          <w:rFonts w:hint="eastAsia"/>
          <w:sz w:val="24"/>
        </w:rPr>
        <w:t>9.4签订合同后，供应商按照其与采购人的事先约定将所供货物运至规定地点。</w:t>
      </w:r>
    </w:p>
    <w:p>
      <w:pPr>
        <w:spacing w:line="360" w:lineRule="auto"/>
        <w:ind w:firstLine="480" w:firstLineChars="200"/>
        <w:rPr>
          <w:sz w:val="24"/>
        </w:rPr>
      </w:pPr>
      <w:r>
        <w:rPr>
          <w:rFonts w:hint="eastAsia"/>
          <w:sz w:val="24"/>
        </w:rPr>
        <w:t>9.5投标人应明确供货期。供货期是指合同生效后，</w:t>
      </w:r>
      <w:r>
        <w:rPr>
          <w:rFonts w:hint="eastAsia"/>
        </w:rPr>
        <w:t>供应商</w:t>
      </w:r>
      <w:r>
        <w:rPr>
          <w:rFonts w:hint="eastAsia"/>
          <w:sz w:val="24"/>
        </w:rPr>
        <w:t>将所供货物按合同清单所列的品种、数量等，运至合同规定地点，安装、运行、验收合格后交付使用的期限。</w:t>
      </w:r>
    </w:p>
    <w:p>
      <w:pPr>
        <w:pStyle w:val="4"/>
      </w:pPr>
      <w:bookmarkStart w:id="37" w:name="_Hlt75236011"/>
      <w:bookmarkEnd w:id="37"/>
      <w:bookmarkStart w:id="38" w:name="_Toc5198068"/>
      <w:bookmarkStart w:id="39" w:name="_Toc91899884"/>
      <w:bookmarkStart w:id="40" w:name="_Toc523909743"/>
      <w:r>
        <w:rPr>
          <w:rFonts w:hint="eastAsia"/>
        </w:rPr>
        <w:t>三、投标文件的编制</w:t>
      </w:r>
      <w:bookmarkEnd w:id="38"/>
      <w:bookmarkEnd w:id="39"/>
      <w:bookmarkEnd w:id="40"/>
    </w:p>
    <w:p>
      <w:pPr>
        <w:spacing w:line="360" w:lineRule="auto"/>
        <w:ind w:firstLine="482" w:firstLineChars="200"/>
        <w:rPr>
          <w:b/>
          <w:sz w:val="24"/>
        </w:rPr>
      </w:pPr>
      <w:r>
        <w:rPr>
          <w:rFonts w:hint="eastAsia"/>
          <w:b/>
          <w:sz w:val="24"/>
        </w:rPr>
        <w:t>10.投标文件的语言</w:t>
      </w:r>
    </w:p>
    <w:p>
      <w:pPr>
        <w:spacing w:line="360" w:lineRule="auto"/>
        <w:ind w:firstLine="480" w:firstLineChars="200"/>
        <w:rPr>
          <w:sz w:val="24"/>
        </w:rPr>
      </w:pPr>
      <w:r>
        <w:rPr>
          <w:rFonts w:hint="eastAsia"/>
          <w:sz w:val="24"/>
        </w:rPr>
        <w:t>投标文件及投标人与采购有关的来往通知、函件和文件均应使用中文。投标文件中如附有外文资料，必须逐一对应翻译成中文并加盖投标人公章后附在相关外文资料后面，否则外文资料不予认可。翻译的中文资料与外文资料不符的，以中文文本为准。翻译严重错误的，将视同提供虚假资料，不予退还投标保证金。</w:t>
      </w:r>
    </w:p>
    <w:p>
      <w:pPr>
        <w:spacing w:line="360" w:lineRule="auto"/>
        <w:ind w:firstLine="482" w:firstLineChars="200"/>
        <w:rPr>
          <w:sz w:val="24"/>
        </w:rPr>
      </w:pPr>
      <w:r>
        <w:rPr>
          <w:rFonts w:hint="eastAsia"/>
          <w:b/>
          <w:sz w:val="24"/>
        </w:rPr>
        <w:t>11.投标文件的组成</w:t>
      </w:r>
      <w:r>
        <w:rPr>
          <w:rFonts w:hint="eastAsia"/>
          <w:sz w:val="24"/>
        </w:rPr>
        <w:t>（加“★”的资料为必须提供）</w:t>
      </w:r>
    </w:p>
    <w:p>
      <w:pPr>
        <w:spacing w:line="360" w:lineRule="auto"/>
        <w:ind w:firstLine="480" w:firstLineChars="200"/>
        <w:rPr>
          <w:sz w:val="24"/>
        </w:rPr>
      </w:pPr>
      <w:r>
        <w:rPr>
          <w:rFonts w:hint="eastAsia"/>
          <w:sz w:val="24"/>
        </w:rPr>
        <w:t>投标人的投标文件应包括报价文件、商务文件、技术文件。</w:t>
      </w:r>
    </w:p>
    <w:p>
      <w:pPr>
        <w:spacing w:line="360" w:lineRule="auto"/>
        <w:ind w:firstLine="480" w:firstLineChars="200"/>
        <w:rPr>
          <w:sz w:val="24"/>
        </w:rPr>
      </w:pPr>
      <w:r>
        <w:rPr>
          <w:rFonts w:hint="eastAsia"/>
          <w:sz w:val="24"/>
        </w:rPr>
        <w:t>11.1 投标人的报价文件应单独密封，内容应当包含：</w:t>
      </w:r>
    </w:p>
    <w:p>
      <w:pPr>
        <w:spacing w:line="360" w:lineRule="auto"/>
        <w:ind w:firstLine="118" w:firstLineChars="49"/>
        <w:rPr>
          <w:b/>
          <w:sz w:val="24"/>
        </w:rPr>
      </w:pPr>
      <w:r>
        <w:rPr>
          <w:rFonts w:hint="eastAsia"/>
          <w:b/>
          <w:sz w:val="24"/>
        </w:rPr>
        <w:t>★(1) 投标函；</w:t>
      </w:r>
    </w:p>
    <w:p>
      <w:pPr>
        <w:spacing w:line="360" w:lineRule="auto"/>
        <w:ind w:firstLine="118" w:firstLineChars="49"/>
        <w:rPr>
          <w:b/>
          <w:sz w:val="24"/>
        </w:rPr>
      </w:pPr>
      <w:r>
        <w:rPr>
          <w:rFonts w:hint="eastAsia"/>
          <w:b/>
          <w:sz w:val="24"/>
        </w:rPr>
        <w:t>★(2) 投标报价明细表；</w:t>
      </w:r>
    </w:p>
    <w:p>
      <w:pPr>
        <w:spacing w:line="360" w:lineRule="auto"/>
        <w:ind w:firstLine="360" w:firstLineChars="150"/>
        <w:rPr>
          <w:sz w:val="24"/>
        </w:rPr>
      </w:pPr>
      <w:r>
        <w:rPr>
          <w:rFonts w:hint="eastAsia"/>
          <w:sz w:val="24"/>
        </w:rPr>
        <w:t>(3)投标人需要说明的其它文件和资料。</w:t>
      </w:r>
    </w:p>
    <w:p>
      <w:pPr>
        <w:spacing w:line="360" w:lineRule="auto"/>
        <w:ind w:firstLine="480" w:firstLineChars="200"/>
        <w:rPr>
          <w:sz w:val="24"/>
        </w:rPr>
      </w:pPr>
      <w:r>
        <w:rPr>
          <w:rFonts w:hint="eastAsia"/>
          <w:sz w:val="24"/>
        </w:rPr>
        <w:t>11.2投标人的商务文件应当包含：</w:t>
      </w:r>
    </w:p>
    <w:p>
      <w:pPr>
        <w:spacing w:line="360" w:lineRule="auto"/>
        <w:ind w:firstLine="118" w:firstLineChars="49"/>
        <w:rPr>
          <w:b/>
          <w:sz w:val="24"/>
        </w:rPr>
      </w:pPr>
      <w:r>
        <w:rPr>
          <w:rFonts w:hint="eastAsia"/>
          <w:b/>
          <w:sz w:val="24"/>
        </w:rPr>
        <w:t>★(1)投标人代表身份证明资料，包括：有效身份证件复印件，如委托的，还需提供有效的授权委托书 。</w:t>
      </w:r>
      <w:r>
        <w:rPr>
          <w:b/>
          <w:sz w:val="24"/>
        </w:rPr>
        <w:t xml:space="preserve"> </w:t>
      </w:r>
    </w:p>
    <w:p>
      <w:pPr>
        <w:spacing w:line="360" w:lineRule="auto"/>
        <w:ind w:firstLine="118" w:firstLineChars="49"/>
        <w:rPr>
          <w:b/>
          <w:sz w:val="24"/>
        </w:rPr>
      </w:pPr>
      <w:r>
        <w:rPr>
          <w:rFonts w:hint="eastAsia"/>
          <w:b/>
          <w:sz w:val="24"/>
        </w:rPr>
        <w:t>★(2)诚信承诺书；</w:t>
      </w:r>
    </w:p>
    <w:p>
      <w:pPr>
        <w:spacing w:line="360" w:lineRule="auto"/>
        <w:ind w:firstLine="118" w:firstLineChars="49"/>
        <w:rPr>
          <w:b/>
          <w:sz w:val="24"/>
        </w:rPr>
      </w:pPr>
      <w:r>
        <w:rPr>
          <w:rFonts w:hint="eastAsia"/>
          <w:b/>
          <w:sz w:val="24"/>
        </w:rPr>
        <w:t xml:space="preserve">★(3)根据招标公告要求，证明投标人具备资格所必须提交的资料（包括营业执照副本或事业单位法人证书、投标保证金证明、其它特定证明材料。 </w:t>
      </w:r>
    </w:p>
    <w:p>
      <w:pPr>
        <w:spacing w:line="360" w:lineRule="auto"/>
        <w:ind w:firstLine="360" w:firstLineChars="150"/>
        <w:rPr>
          <w:sz w:val="24"/>
        </w:rPr>
      </w:pPr>
      <w:r>
        <w:rPr>
          <w:rFonts w:hint="eastAsia"/>
          <w:sz w:val="24"/>
        </w:rPr>
        <w:t>(</w:t>
      </w:r>
      <w:r>
        <w:rPr>
          <w:sz w:val="24"/>
        </w:rPr>
        <w:t>4</w:t>
      </w:r>
      <w:r>
        <w:rPr>
          <w:rFonts w:hint="eastAsia"/>
          <w:sz w:val="24"/>
        </w:rPr>
        <w:t>) 投标人基本情况：</w:t>
      </w:r>
      <w:r>
        <w:rPr>
          <w:sz w:val="24"/>
        </w:rPr>
        <w:tab/>
      </w:r>
    </w:p>
    <w:p>
      <w:pPr>
        <w:spacing w:line="360" w:lineRule="auto"/>
        <w:ind w:firstLine="480" w:firstLineChars="200"/>
        <w:rPr>
          <w:sz w:val="24"/>
        </w:rPr>
      </w:pPr>
      <w:r>
        <w:rPr>
          <w:rFonts w:hint="eastAsia"/>
          <w:sz w:val="24"/>
        </w:rPr>
        <w:t>投标人基本情况表；提供公告发布日前一月的资产负债表、利润表；投标人认为有必要提供的诸如企业经营状况、优势、传媒报道、有关荣誉等资料。</w:t>
      </w:r>
    </w:p>
    <w:p>
      <w:pPr>
        <w:spacing w:line="360" w:lineRule="auto"/>
        <w:ind w:firstLine="360" w:firstLineChars="150"/>
        <w:rPr>
          <w:sz w:val="24"/>
        </w:rPr>
      </w:pPr>
      <w:r>
        <w:rPr>
          <w:rFonts w:hint="eastAsia"/>
          <w:sz w:val="24"/>
        </w:rPr>
        <w:t>(</w:t>
      </w:r>
      <w:r>
        <w:rPr>
          <w:sz w:val="24"/>
        </w:rPr>
        <w:t>5</w:t>
      </w:r>
      <w:r>
        <w:rPr>
          <w:rFonts w:hint="eastAsia"/>
          <w:sz w:val="24"/>
        </w:rPr>
        <w:t>) 有关投标人资质、资格的其他证明材料：</w:t>
      </w:r>
    </w:p>
    <w:p>
      <w:pPr>
        <w:spacing w:line="360" w:lineRule="auto"/>
        <w:ind w:firstLine="480" w:firstLineChars="200"/>
        <w:rPr>
          <w:sz w:val="24"/>
        </w:rPr>
      </w:pPr>
      <w:r>
        <w:rPr>
          <w:rFonts w:hint="eastAsia"/>
          <w:sz w:val="24"/>
        </w:rPr>
        <w:t>五证合一（三证合一）证书</w:t>
      </w:r>
      <w:r>
        <w:rPr>
          <w:sz w:val="24"/>
        </w:rPr>
        <w:t>复印件</w:t>
      </w:r>
      <w:r>
        <w:rPr>
          <w:rFonts w:hint="eastAsia"/>
          <w:sz w:val="24"/>
        </w:rPr>
        <w:t>；投标人银行资信等级证书复印件；荣誉证书复印件或投标人认为需要说明的其他资料。</w:t>
      </w:r>
    </w:p>
    <w:p>
      <w:pPr>
        <w:spacing w:line="360" w:lineRule="auto"/>
        <w:ind w:firstLine="360" w:firstLineChars="150"/>
        <w:rPr>
          <w:sz w:val="24"/>
        </w:rPr>
      </w:pPr>
      <w:r>
        <w:rPr>
          <w:rFonts w:hint="eastAsia"/>
          <w:sz w:val="24"/>
        </w:rPr>
        <w:t>(</w:t>
      </w:r>
      <w:r>
        <w:rPr>
          <w:sz w:val="24"/>
        </w:rPr>
        <w:t>6</w:t>
      </w:r>
      <w:r>
        <w:rPr>
          <w:rFonts w:hint="eastAsia"/>
          <w:sz w:val="24"/>
        </w:rPr>
        <w:t>)项目人员情况：</w:t>
      </w:r>
    </w:p>
    <w:p>
      <w:pPr>
        <w:spacing w:line="360" w:lineRule="auto"/>
        <w:ind w:firstLine="480" w:firstLineChars="200"/>
        <w:rPr>
          <w:sz w:val="24"/>
        </w:rPr>
      </w:pPr>
      <w:r>
        <w:rPr>
          <w:rFonts w:hint="eastAsia"/>
          <w:sz w:val="24"/>
        </w:rPr>
        <w:t>a.项目负责人情况：项目负责人的学历、资格、从业经验等资料；</w:t>
      </w:r>
    </w:p>
    <w:p>
      <w:pPr>
        <w:spacing w:line="360" w:lineRule="auto"/>
        <w:ind w:firstLine="480" w:firstLineChars="200"/>
        <w:rPr>
          <w:sz w:val="24"/>
        </w:rPr>
      </w:pPr>
      <w:r>
        <w:rPr>
          <w:rFonts w:hint="eastAsia"/>
          <w:sz w:val="24"/>
        </w:rPr>
        <w:t>b.项目组人员情况：投标人认为需要的诸如项目组人员资格证书等其他资料。</w:t>
      </w:r>
    </w:p>
    <w:p>
      <w:pPr>
        <w:spacing w:line="360" w:lineRule="auto"/>
        <w:ind w:firstLine="361" w:firstLineChars="150"/>
        <w:rPr>
          <w:b/>
          <w:sz w:val="24"/>
        </w:rPr>
      </w:pPr>
      <w:r>
        <w:rPr>
          <w:rFonts w:hint="eastAsia"/>
          <w:b/>
          <w:sz w:val="24"/>
        </w:rPr>
        <w:t>★(</w:t>
      </w:r>
      <w:r>
        <w:rPr>
          <w:b/>
          <w:sz w:val="24"/>
        </w:rPr>
        <w:t>7</w:t>
      </w:r>
      <w:r>
        <w:rPr>
          <w:rFonts w:hint="eastAsia"/>
          <w:b/>
          <w:sz w:val="24"/>
        </w:rPr>
        <w:t>)商务偏离表</w:t>
      </w:r>
    </w:p>
    <w:p>
      <w:pPr>
        <w:spacing w:line="360" w:lineRule="auto"/>
        <w:ind w:firstLine="360" w:firstLineChars="150"/>
        <w:rPr>
          <w:sz w:val="24"/>
        </w:rPr>
      </w:pPr>
      <w:r>
        <w:rPr>
          <w:rFonts w:hint="eastAsia"/>
          <w:sz w:val="24"/>
        </w:rPr>
        <w:t>(</w:t>
      </w:r>
      <w:r>
        <w:rPr>
          <w:sz w:val="24"/>
        </w:rPr>
        <w:t>8</w:t>
      </w:r>
      <w:r>
        <w:rPr>
          <w:rFonts w:hint="eastAsia"/>
          <w:sz w:val="24"/>
        </w:rPr>
        <w:t>)各种优惠承诺（优惠条件事项不包括采购项目本身所涉及的事项。投标人不能以“赠送、赠予”等任何名义提供货物和服务以规避招标文件的约束）。</w:t>
      </w:r>
    </w:p>
    <w:p>
      <w:pPr>
        <w:spacing w:line="360" w:lineRule="auto"/>
        <w:ind w:firstLine="360" w:firstLineChars="150"/>
        <w:rPr>
          <w:b/>
          <w:sz w:val="24"/>
          <w:shd w:val="pct10" w:color="auto" w:fill="FFFFFF"/>
        </w:rPr>
      </w:pPr>
      <w:r>
        <w:rPr>
          <w:rFonts w:hint="eastAsia"/>
          <w:sz w:val="24"/>
        </w:rPr>
        <w:t>(</w:t>
      </w:r>
      <w:r>
        <w:rPr>
          <w:sz w:val="24"/>
        </w:rPr>
        <w:t>9</w:t>
      </w:r>
      <w:r>
        <w:rPr>
          <w:rFonts w:hint="eastAsia"/>
          <w:sz w:val="24"/>
        </w:rPr>
        <w:t>)类似项目业绩：</w:t>
      </w:r>
    </w:p>
    <w:p>
      <w:pPr>
        <w:spacing w:line="360" w:lineRule="auto"/>
        <w:ind w:firstLine="480" w:firstLineChars="200"/>
        <w:rPr>
          <w:sz w:val="24"/>
        </w:rPr>
      </w:pPr>
      <w:r>
        <w:rPr>
          <w:rFonts w:hint="eastAsia"/>
          <w:sz w:val="24"/>
        </w:rPr>
        <w:t>类似项目业绩一览表；成功应用实例和类似项目实施成功的经验的证明材料，如合同复印件、中标通知书或用户证明等。</w:t>
      </w:r>
    </w:p>
    <w:p>
      <w:pPr>
        <w:spacing w:line="360" w:lineRule="auto"/>
        <w:ind w:firstLine="360" w:firstLineChars="150"/>
        <w:rPr>
          <w:sz w:val="24"/>
        </w:rPr>
      </w:pPr>
      <w:r>
        <w:rPr>
          <w:rFonts w:hint="eastAsia"/>
          <w:sz w:val="24"/>
        </w:rPr>
        <w:t>(</w:t>
      </w:r>
      <w:r>
        <w:rPr>
          <w:sz w:val="24"/>
        </w:rPr>
        <w:t>10</w:t>
      </w:r>
      <w:r>
        <w:rPr>
          <w:rFonts w:hint="eastAsia"/>
          <w:sz w:val="24"/>
        </w:rPr>
        <w:t>)投标人需要说明的其它文件和资料。</w:t>
      </w:r>
    </w:p>
    <w:p>
      <w:pPr>
        <w:spacing w:line="360" w:lineRule="auto"/>
        <w:ind w:firstLine="360" w:firstLineChars="150"/>
        <w:rPr>
          <w:sz w:val="24"/>
        </w:rPr>
      </w:pPr>
      <w:r>
        <w:rPr>
          <w:rFonts w:hint="eastAsia"/>
          <w:sz w:val="24"/>
        </w:rPr>
        <w:t>(</w:t>
      </w:r>
      <w:r>
        <w:rPr>
          <w:sz w:val="24"/>
        </w:rPr>
        <w:t>11</w:t>
      </w:r>
      <w:r>
        <w:rPr>
          <w:rFonts w:hint="eastAsia"/>
          <w:sz w:val="24"/>
        </w:rPr>
        <w:t>)招标文件要求提供的其他资料。</w:t>
      </w:r>
    </w:p>
    <w:p>
      <w:pPr>
        <w:spacing w:line="360" w:lineRule="auto"/>
        <w:ind w:firstLine="480" w:firstLineChars="200"/>
        <w:rPr>
          <w:sz w:val="24"/>
        </w:rPr>
      </w:pPr>
      <w:r>
        <w:rPr>
          <w:rFonts w:hint="eastAsia"/>
          <w:sz w:val="24"/>
        </w:rPr>
        <w:t>11.3投标人的技术文件应当包括：</w:t>
      </w:r>
    </w:p>
    <w:p>
      <w:pPr>
        <w:spacing w:line="360" w:lineRule="auto"/>
        <w:ind w:firstLine="480" w:firstLineChars="200"/>
        <w:rPr>
          <w:sz w:val="24"/>
        </w:rPr>
      </w:pPr>
      <w:r>
        <w:rPr>
          <w:rFonts w:hint="eastAsia"/>
          <w:sz w:val="24"/>
        </w:rPr>
        <w:t xml:space="preserve"> (1)对本项目系统总体要求的理解。</w:t>
      </w:r>
    </w:p>
    <w:p>
      <w:pPr>
        <w:spacing w:line="360" w:lineRule="auto"/>
        <w:ind w:firstLine="236" w:firstLineChars="98"/>
        <w:rPr>
          <w:sz w:val="24"/>
        </w:rPr>
      </w:pPr>
      <w:r>
        <w:rPr>
          <w:rFonts w:hint="eastAsia"/>
          <w:b/>
          <w:sz w:val="24"/>
        </w:rPr>
        <w:t>★</w:t>
      </w:r>
      <w:r>
        <w:rPr>
          <w:rFonts w:hint="eastAsia"/>
          <w:sz w:val="24"/>
        </w:rPr>
        <w:t>(2)项目总体架构及技术解决方案。</w:t>
      </w:r>
    </w:p>
    <w:p>
      <w:pPr>
        <w:spacing w:line="360" w:lineRule="auto"/>
        <w:ind w:firstLine="236" w:firstLineChars="98"/>
        <w:rPr>
          <w:sz w:val="24"/>
        </w:rPr>
      </w:pPr>
      <w:r>
        <w:rPr>
          <w:rFonts w:hint="eastAsia"/>
          <w:b/>
          <w:sz w:val="24"/>
        </w:rPr>
        <w:t>★</w:t>
      </w:r>
      <w:r>
        <w:rPr>
          <w:rFonts w:hint="eastAsia"/>
          <w:sz w:val="24"/>
        </w:rPr>
        <w:t>(3)保证项目质量的技术力量及技术措施。</w:t>
      </w:r>
    </w:p>
    <w:p>
      <w:pPr>
        <w:spacing w:line="360" w:lineRule="auto"/>
        <w:ind w:firstLine="480" w:firstLineChars="200"/>
        <w:rPr>
          <w:sz w:val="24"/>
        </w:rPr>
      </w:pPr>
      <w:r>
        <w:rPr>
          <w:rFonts w:hint="eastAsia"/>
          <w:sz w:val="24"/>
        </w:rPr>
        <w:t>(4)保证工期的施工组织方案及人力安排。</w:t>
      </w:r>
    </w:p>
    <w:p>
      <w:pPr>
        <w:spacing w:line="360" w:lineRule="auto"/>
        <w:ind w:firstLine="480" w:firstLineChars="200"/>
        <w:rPr>
          <w:sz w:val="24"/>
        </w:rPr>
      </w:pPr>
      <w:r>
        <w:rPr>
          <w:rFonts w:hint="eastAsia"/>
          <w:sz w:val="24"/>
        </w:rPr>
        <w:t>(5)项目实施人员一览表。</w:t>
      </w:r>
    </w:p>
    <w:p>
      <w:pPr>
        <w:spacing w:line="360" w:lineRule="auto"/>
        <w:ind w:firstLine="480" w:firstLineChars="200"/>
        <w:rPr>
          <w:sz w:val="24"/>
        </w:rPr>
      </w:pPr>
      <w:r>
        <w:rPr>
          <w:rFonts w:hint="eastAsia"/>
          <w:sz w:val="24"/>
        </w:rPr>
        <w:t>(6) 工程量、原材料、人工配置清单（均不含报价）。</w:t>
      </w:r>
    </w:p>
    <w:p>
      <w:pPr>
        <w:spacing w:line="360" w:lineRule="auto"/>
        <w:ind w:firstLine="480" w:firstLineChars="200"/>
        <w:rPr>
          <w:sz w:val="24"/>
        </w:rPr>
      </w:pPr>
      <w:r>
        <w:rPr>
          <w:rFonts w:hint="eastAsia"/>
          <w:sz w:val="24"/>
        </w:rPr>
        <w:t>(7)技术服务、技术培训、售后服务的内容和措施。</w:t>
      </w:r>
    </w:p>
    <w:p>
      <w:pPr>
        <w:spacing w:line="360" w:lineRule="auto"/>
        <w:ind w:firstLine="480" w:firstLineChars="200"/>
        <w:rPr>
          <w:sz w:val="24"/>
        </w:rPr>
      </w:pPr>
      <w:r>
        <w:rPr>
          <w:rFonts w:hint="eastAsia"/>
          <w:sz w:val="24"/>
        </w:rPr>
        <w:t>(8) 投标人对本项目的合理化建议和改进措施。</w:t>
      </w:r>
    </w:p>
    <w:p>
      <w:pPr>
        <w:spacing w:line="360" w:lineRule="auto"/>
        <w:ind w:firstLine="480" w:firstLineChars="200"/>
        <w:rPr>
          <w:sz w:val="24"/>
        </w:rPr>
      </w:pPr>
      <w:r>
        <w:rPr>
          <w:rFonts w:hint="eastAsia"/>
          <w:sz w:val="24"/>
        </w:rPr>
        <w:t>(9) 投标人认为需要提供的其他文件及资料（格式自拟）。</w:t>
      </w:r>
    </w:p>
    <w:p>
      <w:pPr>
        <w:spacing w:line="360" w:lineRule="auto"/>
        <w:ind w:firstLine="482" w:firstLineChars="200"/>
        <w:rPr>
          <w:b/>
          <w:sz w:val="24"/>
        </w:rPr>
      </w:pPr>
      <w:bookmarkStart w:id="41" w:name="_Toc91899887"/>
      <w:r>
        <w:rPr>
          <w:rFonts w:hint="eastAsia"/>
          <w:b/>
          <w:sz w:val="24"/>
        </w:rPr>
        <w:t>12.投标有效期</w:t>
      </w:r>
    </w:p>
    <w:p>
      <w:pPr>
        <w:spacing w:line="360" w:lineRule="auto"/>
        <w:ind w:firstLine="480" w:firstLineChars="200"/>
        <w:rPr>
          <w:sz w:val="24"/>
        </w:rPr>
      </w:pPr>
      <w:r>
        <w:rPr>
          <w:rFonts w:hint="eastAsia"/>
          <w:sz w:val="24"/>
        </w:rPr>
        <w:t>12.1投标文件合格投递后，自投标截止日期起，至前附表第2项所列的日期内有效。</w:t>
      </w:r>
    </w:p>
    <w:p>
      <w:pPr>
        <w:spacing w:line="360" w:lineRule="auto"/>
        <w:ind w:firstLine="480" w:firstLineChars="200"/>
        <w:rPr>
          <w:sz w:val="24"/>
        </w:rPr>
      </w:pPr>
      <w:r>
        <w:rPr>
          <w:rFonts w:hint="eastAsia"/>
          <w:sz w:val="24"/>
        </w:rPr>
        <w:t>12.2在原定投标有效期之前，如果出现特殊情况，招标组织机构可以以书面形式通知投标人延长投标有效期。</w:t>
      </w:r>
    </w:p>
    <w:p>
      <w:pPr>
        <w:spacing w:line="360" w:lineRule="auto"/>
        <w:ind w:firstLine="482" w:firstLineChars="200"/>
        <w:rPr>
          <w:b/>
          <w:sz w:val="24"/>
        </w:rPr>
      </w:pPr>
      <w:r>
        <w:rPr>
          <w:rFonts w:hint="eastAsia"/>
          <w:b/>
          <w:sz w:val="24"/>
        </w:rPr>
        <w:t>13.投标保证金</w:t>
      </w:r>
    </w:p>
    <w:p>
      <w:pPr>
        <w:spacing w:line="360" w:lineRule="auto"/>
        <w:ind w:firstLine="480" w:firstLineChars="200"/>
        <w:rPr>
          <w:sz w:val="24"/>
        </w:rPr>
      </w:pPr>
      <w:r>
        <w:rPr>
          <w:rFonts w:hint="eastAsia"/>
          <w:sz w:val="24"/>
        </w:rPr>
        <w:t>13.1投标保证金必须以招标公告规定的形式缴纳，不接受银行保函或现金等其它形式的投标保证金。</w:t>
      </w:r>
    </w:p>
    <w:p>
      <w:pPr>
        <w:spacing w:line="360" w:lineRule="auto"/>
        <w:ind w:firstLine="480" w:firstLineChars="200"/>
        <w:rPr>
          <w:sz w:val="24"/>
        </w:rPr>
      </w:pPr>
      <w:r>
        <w:rPr>
          <w:rFonts w:hint="eastAsia"/>
          <w:sz w:val="24"/>
        </w:rPr>
        <w:t>13.2 招标组织机构将拒绝未能按规定时间和金额缴纳投标保证金的投标人。</w:t>
      </w:r>
    </w:p>
    <w:p>
      <w:pPr>
        <w:spacing w:line="360" w:lineRule="auto"/>
        <w:ind w:firstLine="480" w:firstLineChars="200"/>
        <w:rPr>
          <w:sz w:val="24"/>
        </w:rPr>
      </w:pPr>
      <w:r>
        <w:rPr>
          <w:rFonts w:hint="eastAsia"/>
          <w:sz w:val="24"/>
        </w:rPr>
        <w:t>13.3无特殊情况，未中标人的投标保证金在本项目中标通知书发出之日起，五个工作日内由退还原账号。</w:t>
      </w:r>
    </w:p>
    <w:p>
      <w:pPr>
        <w:spacing w:line="360" w:lineRule="auto"/>
        <w:ind w:firstLine="480" w:firstLineChars="200"/>
        <w:rPr>
          <w:sz w:val="24"/>
        </w:rPr>
      </w:pPr>
      <w:r>
        <w:rPr>
          <w:rFonts w:hint="eastAsia"/>
          <w:sz w:val="24"/>
        </w:rPr>
        <w:t>13.4中标人的投标保证金自采购合同签订之日起5个工作日内退还</w:t>
      </w:r>
    </w:p>
    <w:p>
      <w:pPr>
        <w:spacing w:line="360" w:lineRule="auto"/>
        <w:ind w:firstLine="480" w:firstLineChars="200"/>
        <w:rPr>
          <w:sz w:val="24"/>
        </w:rPr>
      </w:pPr>
      <w:r>
        <w:rPr>
          <w:rFonts w:hint="eastAsia"/>
          <w:sz w:val="24"/>
        </w:rPr>
        <w:t>13.5 投标人有下列情况的，投标保证金将不予退还：</w:t>
      </w:r>
    </w:p>
    <w:p>
      <w:pPr>
        <w:spacing w:line="360" w:lineRule="auto"/>
        <w:ind w:firstLine="480" w:firstLineChars="200"/>
        <w:rPr>
          <w:sz w:val="24"/>
        </w:rPr>
      </w:pPr>
      <w:r>
        <w:rPr>
          <w:rFonts w:hint="eastAsia"/>
          <w:sz w:val="24"/>
        </w:rPr>
        <w:t>(1) 投标文件递交时间截止后撤销投标文件的；</w:t>
      </w:r>
    </w:p>
    <w:p>
      <w:pPr>
        <w:spacing w:line="360" w:lineRule="auto"/>
        <w:ind w:firstLine="480" w:firstLineChars="200"/>
        <w:rPr>
          <w:sz w:val="24"/>
        </w:rPr>
      </w:pPr>
      <w:r>
        <w:rPr>
          <w:rFonts w:hint="eastAsia"/>
          <w:sz w:val="24"/>
        </w:rPr>
        <w:t>(2) 中标后无故拒签合同或转让中标的；</w:t>
      </w:r>
    </w:p>
    <w:p>
      <w:pPr>
        <w:spacing w:line="360" w:lineRule="auto"/>
        <w:ind w:firstLine="480" w:firstLineChars="200"/>
        <w:rPr>
          <w:sz w:val="24"/>
        </w:rPr>
      </w:pPr>
      <w:r>
        <w:rPr>
          <w:rFonts w:hint="eastAsia"/>
          <w:sz w:val="24"/>
        </w:rPr>
        <w:t>(3) 投标人在投标过程中弄虚作假，提供虚假资料的；</w:t>
      </w:r>
    </w:p>
    <w:p>
      <w:pPr>
        <w:spacing w:line="360" w:lineRule="auto"/>
        <w:ind w:firstLine="480" w:firstLineChars="200"/>
        <w:rPr>
          <w:sz w:val="24"/>
        </w:rPr>
      </w:pPr>
      <w:r>
        <w:rPr>
          <w:rFonts w:hint="eastAsia"/>
          <w:sz w:val="24"/>
        </w:rPr>
        <w:t>(4) 投标人对招标组织机构和评标机构施加影响的任何行为；</w:t>
      </w:r>
    </w:p>
    <w:p>
      <w:pPr>
        <w:spacing w:line="360" w:lineRule="auto"/>
        <w:ind w:firstLine="480" w:firstLineChars="200"/>
        <w:rPr>
          <w:sz w:val="24"/>
        </w:rPr>
      </w:pPr>
      <w:r>
        <w:rPr>
          <w:rFonts w:hint="eastAsia"/>
          <w:sz w:val="24"/>
        </w:rPr>
        <w:t>(5) 其他严重扰乱招投标程序的。</w:t>
      </w:r>
    </w:p>
    <w:p>
      <w:pPr>
        <w:spacing w:line="360" w:lineRule="auto"/>
        <w:ind w:firstLine="482" w:firstLineChars="200"/>
        <w:rPr>
          <w:b/>
          <w:sz w:val="24"/>
        </w:rPr>
      </w:pPr>
      <w:r>
        <w:rPr>
          <w:rFonts w:hint="eastAsia"/>
          <w:b/>
          <w:sz w:val="24"/>
        </w:rPr>
        <w:t>14.投标文件的编制</w:t>
      </w:r>
    </w:p>
    <w:p>
      <w:pPr>
        <w:spacing w:line="360" w:lineRule="auto"/>
        <w:ind w:firstLine="480" w:firstLineChars="200"/>
        <w:rPr>
          <w:sz w:val="24"/>
        </w:rPr>
      </w:pPr>
      <w:r>
        <w:rPr>
          <w:rFonts w:hint="eastAsia"/>
          <w:sz w:val="24"/>
        </w:rPr>
        <w:t>14.1投标人按本须知第10条规定的语言和前附表规定的份数编制投标文件并明确标识各部分内容。投标文件标识不清、编写不完整、编排混乱导致投标文件被误拆、误读、漏读或者查找不到相关内容的，责任由投标人自行承担。</w:t>
      </w:r>
    </w:p>
    <w:p>
      <w:pPr>
        <w:spacing w:line="360" w:lineRule="auto"/>
        <w:ind w:firstLine="480" w:firstLineChars="200"/>
        <w:rPr>
          <w:sz w:val="24"/>
        </w:rPr>
      </w:pPr>
      <w:r>
        <w:rPr>
          <w:rFonts w:hint="eastAsia"/>
          <w:sz w:val="24"/>
        </w:rPr>
        <w:t>14.2全套投标文件应无涂改和行间插字，除非这些删改是根据招标组织机构要求进行，或者是投标人造成的必须修改的错误。所修改处应由投标人代表签字予以确认，否则，修改处不予认可。</w:t>
      </w:r>
    </w:p>
    <w:p>
      <w:pPr>
        <w:spacing w:line="360" w:lineRule="auto"/>
        <w:ind w:firstLine="480" w:firstLineChars="200"/>
        <w:rPr>
          <w:sz w:val="24"/>
        </w:rPr>
      </w:pPr>
      <w:r>
        <w:rPr>
          <w:rFonts w:hint="eastAsia"/>
          <w:sz w:val="24"/>
        </w:rPr>
        <w:t>14.3投标文件提倡A4幅面双面打印，并按顺序统一编目编码装订成册。</w:t>
      </w:r>
      <w:bookmarkEnd w:id="41"/>
    </w:p>
    <w:p>
      <w:pPr>
        <w:pStyle w:val="4"/>
      </w:pPr>
      <w:bookmarkStart w:id="42" w:name="_Hlt68403820"/>
      <w:bookmarkEnd w:id="42"/>
      <w:bookmarkStart w:id="43" w:name="_Hlt68073093"/>
      <w:bookmarkEnd w:id="43"/>
      <w:bookmarkStart w:id="44" w:name="_Hlt68072998"/>
      <w:bookmarkEnd w:id="44"/>
      <w:bookmarkStart w:id="45" w:name="_Toc5198069"/>
      <w:bookmarkStart w:id="46" w:name="_Toc86216991"/>
      <w:bookmarkStart w:id="47" w:name="_Toc523909744"/>
      <w:bookmarkStart w:id="48" w:name="_Toc91899892"/>
      <w:r>
        <w:rPr>
          <w:rFonts w:hint="eastAsia"/>
        </w:rPr>
        <w:t>四、投标文件的递交</w:t>
      </w:r>
      <w:bookmarkEnd w:id="45"/>
      <w:bookmarkEnd w:id="46"/>
      <w:bookmarkEnd w:id="47"/>
    </w:p>
    <w:p>
      <w:pPr>
        <w:spacing w:line="360" w:lineRule="auto"/>
        <w:ind w:firstLine="482" w:firstLineChars="200"/>
        <w:rPr>
          <w:b/>
          <w:sz w:val="24"/>
        </w:rPr>
      </w:pPr>
      <w:r>
        <w:rPr>
          <w:rFonts w:hint="eastAsia"/>
          <w:b/>
          <w:sz w:val="24"/>
        </w:rPr>
        <w:t>15.投标文件的密封、装订、签署、盖章</w:t>
      </w:r>
    </w:p>
    <w:p>
      <w:pPr>
        <w:spacing w:line="360" w:lineRule="auto"/>
        <w:ind w:firstLine="236" w:firstLineChars="98"/>
        <w:rPr>
          <w:b/>
          <w:sz w:val="24"/>
        </w:rPr>
      </w:pPr>
      <w:r>
        <w:rPr>
          <w:rFonts w:hint="eastAsia"/>
          <w:b/>
          <w:sz w:val="24"/>
        </w:rPr>
        <w:t>★15.1投标文件须密封包装并在包装封面上加盖投标人公章。投标文件提交的总份数应按照招标文件前附表的规定。</w:t>
      </w:r>
    </w:p>
    <w:p>
      <w:pPr>
        <w:spacing w:line="360" w:lineRule="auto"/>
        <w:ind w:firstLine="480" w:firstLineChars="200"/>
        <w:rPr>
          <w:sz w:val="24"/>
        </w:rPr>
      </w:pPr>
      <w:r>
        <w:rPr>
          <w:rFonts w:hint="eastAsia"/>
          <w:sz w:val="24"/>
        </w:rPr>
        <w:t>投标文件外层包装封面的参考格式详见本招标文件第四部分。</w:t>
      </w:r>
    </w:p>
    <w:p>
      <w:pPr>
        <w:spacing w:line="360" w:lineRule="auto"/>
        <w:ind w:firstLine="480" w:firstLineChars="200"/>
        <w:rPr>
          <w:sz w:val="24"/>
        </w:rPr>
      </w:pPr>
      <w:r>
        <w:rPr>
          <w:rFonts w:hint="eastAsia"/>
          <w:sz w:val="24"/>
        </w:rPr>
        <w:t>15.2投标文件必须胶装装订。报价文件（含封面）为3张纸及以下的可不胶装装订。</w:t>
      </w:r>
    </w:p>
    <w:p>
      <w:pPr>
        <w:spacing w:line="360" w:lineRule="auto"/>
        <w:ind w:firstLine="234" w:firstLineChars="97"/>
        <w:rPr>
          <w:b/>
          <w:sz w:val="24"/>
        </w:rPr>
      </w:pPr>
      <w:r>
        <w:rPr>
          <w:rFonts w:hint="eastAsia"/>
          <w:b/>
          <w:sz w:val="24"/>
        </w:rPr>
        <w:t>★15.3投标人须在投标文件封面上标明“正本”与“副本”字样、项目名称与标项号，并加盖投标人公章。正本内容与副本不一致时，以正本为准。</w:t>
      </w:r>
    </w:p>
    <w:p>
      <w:pPr>
        <w:spacing w:line="360" w:lineRule="auto"/>
        <w:ind w:firstLine="600" w:firstLineChars="250"/>
        <w:rPr>
          <w:sz w:val="24"/>
        </w:rPr>
      </w:pPr>
      <w:r>
        <w:rPr>
          <w:rFonts w:hint="eastAsia"/>
          <w:sz w:val="24"/>
        </w:rPr>
        <w:t>参考格式详见本招标文件第四部分。</w:t>
      </w:r>
    </w:p>
    <w:p>
      <w:pPr>
        <w:spacing w:line="360" w:lineRule="auto"/>
        <w:ind w:firstLine="234" w:firstLineChars="97"/>
        <w:rPr>
          <w:b/>
          <w:sz w:val="24"/>
        </w:rPr>
      </w:pPr>
      <w:r>
        <w:rPr>
          <w:rFonts w:hint="eastAsia"/>
          <w:b/>
          <w:sz w:val="24"/>
        </w:rPr>
        <w:t>★15.4报价文件必须与商务文件和技术文件分开装订，单独密封（采用最低评标价法的报价文件可不单独装订与密封）。密封袋上须注明项目名称、标项号及类似（报价文件或商务文件或技术文件）字样并加盖投标人公章。不同标项的报价文件须各自单独密封与标注（采用最低评标价法的可不单独密封与标注）。任何其他投标文件中不得出现投标报价。</w:t>
      </w:r>
    </w:p>
    <w:p>
      <w:pPr>
        <w:spacing w:line="360" w:lineRule="auto"/>
        <w:ind w:firstLine="480" w:firstLineChars="200"/>
        <w:rPr>
          <w:sz w:val="24"/>
        </w:rPr>
      </w:pPr>
      <w:r>
        <w:rPr>
          <w:rFonts w:hint="eastAsia"/>
          <w:sz w:val="24"/>
        </w:rPr>
        <w:t>参考格式详见本招标文件第四部分。</w:t>
      </w:r>
    </w:p>
    <w:p>
      <w:pPr>
        <w:spacing w:line="360" w:lineRule="auto"/>
        <w:ind w:firstLine="236" w:firstLineChars="98"/>
        <w:rPr>
          <w:b/>
          <w:sz w:val="24"/>
        </w:rPr>
      </w:pPr>
      <w:r>
        <w:rPr>
          <w:rFonts w:hint="eastAsia"/>
          <w:b/>
          <w:sz w:val="24"/>
        </w:rPr>
        <w:t>★15.5 投标文件中授权委托书、投标函、投标报价明细表、诚信承诺书须按招标文件第四部分格式要求签署、盖章。</w:t>
      </w:r>
    </w:p>
    <w:p>
      <w:pPr>
        <w:spacing w:line="360" w:lineRule="auto"/>
        <w:ind w:firstLine="482" w:firstLineChars="200"/>
        <w:rPr>
          <w:b/>
          <w:sz w:val="24"/>
        </w:rPr>
      </w:pPr>
      <w:r>
        <w:rPr>
          <w:rFonts w:hint="eastAsia"/>
          <w:b/>
          <w:sz w:val="24"/>
        </w:rPr>
        <w:t>16.投标截止时间</w:t>
      </w:r>
    </w:p>
    <w:p>
      <w:pPr>
        <w:spacing w:line="360" w:lineRule="auto"/>
        <w:ind w:firstLine="480" w:firstLineChars="200"/>
        <w:rPr>
          <w:sz w:val="24"/>
        </w:rPr>
      </w:pPr>
      <w:r>
        <w:rPr>
          <w:rFonts w:hint="eastAsia"/>
          <w:sz w:val="24"/>
        </w:rPr>
        <w:t>16.1 投标人应按前附表第5项规定的时间、地点向招标组织机构递交投标文件，招标组织机构拒绝接受逾期送达的投标文件及其该项目的投标。</w:t>
      </w:r>
    </w:p>
    <w:p>
      <w:pPr>
        <w:spacing w:line="360" w:lineRule="auto"/>
        <w:ind w:firstLine="480" w:firstLineChars="200"/>
        <w:rPr>
          <w:sz w:val="24"/>
        </w:rPr>
      </w:pPr>
      <w:r>
        <w:rPr>
          <w:rFonts w:hint="eastAsia"/>
          <w:sz w:val="24"/>
        </w:rPr>
        <w:t>16.2 招标组织机构可以按本须知第8条规定以补充通知的方式，酌情延长递交投标文件的截止时间。在上述情况下，招标组织机构与投标人此前在投标截止时间方面的全部权利、责任和义务，将适用于延长后新的投标截止时间。</w:t>
      </w:r>
    </w:p>
    <w:p>
      <w:pPr>
        <w:spacing w:line="360" w:lineRule="auto"/>
        <w:ind w:firstLine="480" w:firstLineChars="200"/>
        <w:rPr>
          <w:sz w:val="24"/>
        </w:rPr>
      </w:pPr>
      <w:r>
        <w:rPr>
          <w:rFonts w:hint="eastAsia"/>
          <w:sz w:val="24"/>
        </w:rPr>
        <w:t>16.3不论投标人中标与否，已拆封的投标文件均不予退回。</w:t>
      </w:r>
    </w:p>
    <w:p>
      <w:pPr>
        <w:spacing w:line="360" w:lineRule="auto"/>
        <w:ind w:firstLine="482" w:firstLineChars="200"/>
        <w:rPr>
          <w:b/>
          <w:sz w:val="24"/>
        </w:rPr>
      </w:pPr>
      <w:r>
        <w:rPr>
          <w:rFonts w:hint="eastAsia"/>
          <w:b/>
          <w:sz w:val="24"/>
        </w:rPr>
        <w:t>17.投标文件的修改</w:t>
      </w:r>
    </w:p>
    <w:p>
      <w:pPr>
        <w:spacing w:line="360" w:lineRule="auto"/>
        <w:ind w:firstLine="480" w:firstLineChars="200"/>
        <w:rPr>
          <w:sz w:val="24"/>
        </w:rPr>
      </w:pPr>
      <w:r>
        <w:rPr>
          <w:rFonts w:hint="eastAsia"/>
          <w:sz w:val="24"/>
        </w:rPr>
        <w:t>17.1 投标人递交投标文件以后，在规定的投标截止时间之前，可以书面形式对投标文件进行补充、修改，并由投标人代表签字确认；在投标截止时间以后，不能修改、补充投标文件。修改、补充文件的密封、装订、签署与盖章要求与15.投标文件要求一致。</w:t>
      </w:r>
    </w:p>
    <w:p>
      <w:pPr>
        <w:spacing w:line="360" w:lineRule="auto"/>
        <w:ind w:firstLine="480" w:firstLineChars="200"/>
        <w:rPr>
          <w:sz w:val="24"/>
        </w:rPr>
      </w:pPr>
      <w:r>
        <w:rPr>
          <w:rFonts w:hint="eastAsia"/>
          <w:sz w:val="24"/>
        </w:rPr>
        <w:t>17.2 投标人的修改、补充通知，如果一份标书有几份函件时，应注明哪一份有效，否则所作修改、补充视为无效。</w:t>
      </w:r>
    </w:p>
    <w:p>
      <w:pPr>
        <w:spacing w:line="360" w:lineRule="auto"/>
        <w:ind w:firstLine="480" w:firstLineChars="200"/>
        <w:rPr>
          <w:sz w:val="24"/>
        </w:rPr>
      </w:pPr>
      <w:r>
        <w:rPr>
          <w:rFonts w:hint="eastAsia"/>
          <w:sz w:val="24"/>
        </w:rPr>
        <w:t>17.3 自投标截止时间起至招标文件中规定的有效时间止，投标人不能撤回投标文件，否则其投标保证金将不予退还。</w:t>
      </w:r>
      <w:bookmarkEnd w:id="48"/>
    </w:p>
    <w:p>
      <w:pPr>
        <w:pStyle w:val="4"/>
      </w:pPr>
      <w:bookmarkStart w:id="49" w:name="_Toc5198070"/>
      <w:bookmarkStart w:id="50" w:name="_Toc523909745"/>
      <w:bookmarkStart w:id="51" w:name="_Toc91899897"/>
      <w:r>
        <w:rPr>
          <w:rFonts w:hint="eastAsia"/>
        </w:rPr>
        <w:t>五、开标</w:t>
      </w:r>
      <w:bookmarkEnd w:id="49"/>
      <w:bookmarkEnd w:id="50"/>
      <w:bookmarkEnd w:id="51"/>
    </w:p>
    <w:p>
      <w:pPr>
        <w:spacing w:line="360" w:lineRule="auto"/>
        <w:ind w:firstLine="482" w:firstLineChars="200"/>
        <w:rPr>
          <w:b/>
          <w:sz w:val="24"/>
        </w:rPr>
      </w:pPr>
      <w:r>
        <w:rPr>
          <w:rFonts w:hint="eastAsia"/>
          <w:b/>
          <w:sz w:val="24"/>
        </w:rPr>
        <w:t>18.开标</w:t>
      </w:r>
    </w:p>
    <w:p>
      <w:pPr>
        <w:spacing w:line="360" w:lineRule="auto"/>
        <w:ind w:firstLine="480" w:firstLineChars="200"/>
        <w:rPr>
          <w:sz w:val="24"/>
        </w:rPr>
      </w:pPr>
      <w:r>
        <w:rPr>
          <w:rFonts w:hint="eastAsia"/>
          <w:sz w:val="24"/>
        </w:rPr>
        <w:t>18.1招标组织机构将在前附表规定时间、指定地点开标。投标人代表需提供本人的有效身份证件原件。</w:t>
      </w:r>
    </w:p>
    <w:p>
      <w:pPr>
        <w:spacing w:line="360" w:lineRule="auto"/>
        <w:ind w:firstLine="480" w:firstLineChars="200"/>
        <w:rPr>
          <w:sz w:val="24"/>
        </w:rPr>
      </w:pPr>
      <w:r>
        <w:rPr>
          <w:rFonts w:hint="eastAsia"/>
          <w:sz w:val="24"/>
        </w:rPr>
        <w:t>本招标文件中所指的有效身份证件指的是：居民户口薄、居民身份证、临时居民身份证、护照、港澳同胞回乡证、港澳居民来往内地通行证、台湾居民来往大陆通行证、外国人居留证、外国人出入境证、驾驶证、市民卡，有期限规定的证件在有效期内方为有效。</w:t>
      </w:r>
    </w:p>
    <w:p>
      <w:pPr>
        <w:spacing w:line="360" w:lineRule="auto"/>
        <w:ind w:firstLine="480" w:firstLineChars="200"/>
        <w:rPr>
          <w:sz w:val="24"/>
        </w:rPr>
      </w:pPr>
      <w:r>
        <w:rPr>
          <w:rFonts w:hint="eastAsia"/>
          <w:sz w:val="24"/>
        </w:rPr>
        <w:t>18.2 开标程序</w:t>
      </w:r>
    </w:p>
    <w:p>
      <w:pPr>
        <w:spacing w:line="360" w:lineRule="auto"/>
        <w:ind w:firstLine="480" w:firstLineChars="200"/>
        <w:rPr>
          <w:sz w:val="24"/>
        </w:rPr>
      </w:pPr>
      <w:r>
        <w:rPr>
          <w:rFonts w:hint="eastAsia"/>
          <w:sz w:val="24"/>
        </w:rPr>
        <w:t>(1)开标会由招标组织机构主持,主持人宣布开标会议开始；</w:t>
      </w:r>
    </w:p>
    <w:p>
      <w:pPr>
        <w:spacing w:line="360" w:lineRule="auto"/>
        <w:ind w:firstLine="480" w:firstLineChars="200"/>
        <w:rPr>
          <w:sz w:val="24"/>
        </w:rPr>
      </w:pPr>
      <w:r>
        <w:rPr>
          <w:rFonts w:hint="eastAsia"/>
          <w:sz w:val="24"/>
        </w:rPr>
        <w:t>(2)主持人介绍参加开标会议的成员；</w:t>
      </w:r>
    </w:p>
    <w:p>
      <w:pPr>
        <w:spacing w:line="360" w:lineRule="auto"/>
        <w:ind w:firstLine="480" w:firstLineChars="200"/>
        <w:rPr>
          <w:sz w:val="24"/>
        </w:rPr>
      </w:pPr>
      <w:r>
        <w:rPr>
          <w:rFonts w:hint="eastAsia"/>
          <w:sz w:val="24"/>
        </w:rPr>
        <w:t>(3)主持人宣布开标期间的有关事项；</w:t>
      </w:r>
    </w:p>
    <w:p>
      <w:pPr>
        <w:spacing w:line="360" w:lineRule="auto"/>
        <w:ind w:firstLine="480" w:firstLineChars="200"/>
        <w:rPr>
          <w:sz w:val="24"/>
        </w:rPr>
      </w:pPr>
      <w:r>
        <w:rPr>
          <w:rFonts w:hint="eastAsia"/>
          <w:sz w:val="24"/>
        </w:rPr>
        <w:t>(4)招标组织机构请参与的投标单位代表或其委托的公证机构检查投标文件密封情况；</w:t>
      </w:r>
    </w:p>
    <w:p>
      <w:pPr>
        <w:spacing w:line="360" w:lineRule="auto"/>
        <w:ind w:firstLine="480" w:firstLineChars="200"/>
        <w:rPr>
          <w:sz w:val="24"/>
        </w:rPr>
      </w:pPr>
      <w:r>
        <w:rPr>
          <w:rFonts w:hint="eastAsia"/>
          <w:sz w:val="24"/>
        </w:rPr>
        <w:t>(5)按各投标人提交投标文件时间的先后顺序打开投标文件并宣布投标文件份数，并送交评标委员会评审；</w:t>
      </w:r>
    </w:p>
    <w:p>
      <w:pPr>
        <w:spacing w:line="360" w:lineRule="auto"/>
        <w:ind w:firstLine="480" w:firstLineChars="200"/>
        <w:rPr>
          <w:sz w:val="24"/>
        </w:rPr>
      </w:pPr>
      <w:r>
        <w:rPr>
          <w:rFonts w:hint="eastAsia"/>
          <w:sz w:val="24"/>
        </w:rPr>
        <w:t>(6)商务、技术标评审结束后，由主持人宣布无效投标的投标人名单、投标无效的原因及其他有效投标的评审结果；</w:t>
      </w:r>
    </w:p>
    <w:p>
      <w:pPr>
        <w:spacing w:line="360" w:lineRule="auto"/>
        <w:ind w:firstLine="480" w:firstLineChars="200"/>
        <w:rPr>
          <w:sz w:val="24"/>
        </w:rPr>
      </w:pPr>
      <w:r>
        <w:rPr>
          <w:rFonts w:hint="eastAsia"/>
          <w:sz w:val="24"/>
        </w:rPr>
        <w:t>(7)主持人打开报价文件并宣布投标文件份数，宣读报价文件中投标人名称、投标报价以及招标组织机构认为有必要宣读的其他内容；</w:t>
      </w:r>
    </w:p>
    <w:p>
      <w:pPr>
        <w:spacing w:line="360" w:lineRule="auto"/>
        <w:ind w:firstLine="480" w:firstLineChars="200"/>
        <w:rPr>
          <w:sz w:val="24"/>
        </w:rPr>
      </w:pPr>
      <w:r>
        <w:rPr>
          <w:rFonts w:hint="eastAsia"/>
          <w:sz w:val="24"/>
        </w:rPr>
        <w:t>(8)招标组织机构负责开标记录，投标人代表对开标记录进行当场校核及勘误，并签名确认，同时由记录人、监督人当场签名确认。投标人代表未到场签名确认或拒绝签名确认的，不影响评标过程和结果；</w:t>
      </w:r>
    </w:p>
    <w:p>
      <w:pPr>
        <w:spacing w:line="360" w:lineRule="auto"/>
        <w:ind w:firstLine="360" w:firstLineChars="150"/>
        <w:rPr>
          <w:sz w:val="24"/>
        </w:rPr>
      </w:pPr>
      <w:r>
        <w:rPr>
          <w:rFonts w:hint="eastAsia"/>
          <w:sz w:val="24"/>
        </w:rPr>
        <w:t>（9）报价文件送交评标委员会评审；</w:t>
      </w:r>
    </w:p>
    <w:p>
      <w:pPr>
        <w:spacing w:line="360" w:lineRule="auto"/>
        <w:ind w:firstLine="480" w:firstLineChars="200"/>
        <w:rPr>
          <w:sz w:val="24"/>
        </w:rPr>
      </w:pPr>
      <w:r>
        <w:rPr>
          <w:rFonts w:hint="eastAsia"/>
          <w:sz w:val="24"/>
        </w:rPr>
        <w:t>(10)主持人公布评标结果并宣布开标会议结束。</w:t>
      </w:r>
    </w:p>
    <w:p>
      <w:pPr>
        <w:spacing w:line="360" w:lineRule="auto"/>
        <w:ind w:firstLine="482" w:firstLineChars="200"/>
        <w:rPr>
          <w:sz w:val="24"/>
        </w:rPr>
      </w:pPr>
      <w:r>
        <w:rPr>
          <w:rFonts w:hint="eastAsia"/>
          <w:b/>
          <w:sz w:val="24"/>
        </w:rPr>
        <w:t>18.3</w:t>
      </w:r>
      <w:r>
        <w:rPr>
          <w:rFonts w:hint="eastAsia"/>
          <w:sz w:val="24"/>
        </w:rPr>
        <w:t>开、评标时，投标报价明细表总价合计与投标函报价不一致的，以投标函报价为准。投标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按上述修正错误的原则及方法调整或修正投标文件的报价，经投标人代表签字确认后，调整后的报价对投标人起约束作用。如投标人不接受修正后的报价，则其投标将作为无效投标处理。</w:t>
      </w:r>
    </w:p>
    <w:p>
      <w:pPr>
        <w:spacing w:line="360" w:lineRule="auto"/>
        <w:ind w:firstLine="482" w:firstLineChars="200"/>
        <w:rPr>
          <w:sz w:val="24"/>
        </w:rPr>
      </w:pPr>
      <w:r>
        <w:rPr>
          <w:rFonts w:hint="eastAsia"/>
          <w:b/>
          <w:sz w:val="24"/>
        </w:rPr>
        <w:t>18.4有下列情况之一者，</w:t>
      </w:r>
      <w:r>
        <w:rPr>
          <w:rFonts w:hint="eastAsia" w:ascii="黑体" w:eastAsia="黑体"/>
          <w:sz w:val="24"/>
        </w:rPr>
        <w:t>投标文件将被拒绝接受</w:t>
      </w:r>
      <w:r>
        <w:rPr>
          <w:rFonts w:hint="eastAsia"/>
          <w:sz w:val="24"/>
        </w:rPr>
        <w:t>：</w:t>
      </w:r>
    </w:p>
    <w:p>
      <w:pPr>
        <w:spacing w:line="360" w:lineRule="auto"/>
        <w:ind w:firstLine="480" w:firstLineChars="200"/>
        <w:rPr>
          <w:sz w:val="24"/>
        </w:rPr>
      </w:pPr>
      <w:r>
        <w:rPr>
          <w:rFonts w:hint="eastAsia"/>
          <w:sz w:val="24"/>
        </w:rPr>
        <w:t>18.4.1</w:t>
      </w:r>
      <w:r>
        <w:rPr>
          <w:sz w:val="24"/>
        </w:rPr>
        <w:t>在招标文件要求提交投标文件的截止时间之后送达投标文件的</w:t>
      </w:r>
      <w:r>
        <w:rPr>
          <w:rFonts w:hint="eastAsia"/>
          <w:sz w:val="24"/>
        </w:rPr>
        <w:t>。</w:t>
      </w:r>
    </w:p>
    <w:p>
      <w:pPr>
        <w:spacing w:line="360" w:lineRule="auto"/>
        <w:ind w:firstLine="480" w:firstLineChars="200"/>
        <w:rPr>
          <w:sz w:val="24"/>
        </w:rPr>
      </w:pPr>
      <w:r>
        <w:rPr>
          <w:rFonts w:hint="eastAsia"/>
          <w:sz w:val="24"/>
        </w:rPr>
        <w:t>18.4.2投标人代表未在规定时间到达开标现场或未出具有效身份证件原件的。</w:t>
      </w:r>
    </w:p>
    <w:p>
      <w:pPr>
        <w:spacing w:line="360" w:lineRule="auto"/>
        <w:ind w:firstLine="480" w:firstLineChars="200"/>
        <w:rPr>
          <w:sz w:val="24"/>
        </w:rPr>
      </w:pPr>
      <w:r>
        <w:rPr>
          <w:rFonts w:hint="eastAsia"/>
          <w:sz w:val="24"/>
        </w:rPr>
        <w:t xml:space="preserve">18.4.3其他应当被拒绝投标的事项。 </w:t>
      </w:r>
    </w:p>
    <w:p>
      <w:pPr>
        <w:spacing w:line="360" w:lineRule="auto"/>
        <w:ind w:firstLine="482" w:firstLineChars="200"/>
        <w:rPr>
          <w:b/>
          <w:sz w:val="24"/>
        </w:rPr>
      </w:pPr>
      <w:r>
        <w:rPr>
          <w:rFonts w:hint="eastAsia"/>
          <w:b/>
          <w:sz w:val="24"/>
        </w:rPr>
        <w:t>19.投标文件响应情况</w:t>
      </w:r>
    </w:p>
    <w:p>
      <w:pPr>
        <w:spacing w:line="360" w:lineRule="auto"/>
        <w:ind w:firstLine="480" w:firstLineChars="200"/>
        <w:rPr>
          <w:sz w:val="24"/>
        </w:rPr>
      </w:pPr>
      <w:r>
        <w:rPr>
          <w:rFonts w:hint="eastAsia"/>
          <w:sz w:val="24"/>
        </w:rPr>
        <w:t>19.1开标时，若投标人被拒绝投标，招标组织机构将及时通知该投标人。</w:t>
      </w:r>
    </w:p>
    <w:p>
      <w:pPr>
        <w:spacing w:line="360" w:lineRule="auto"/>
        <w:ind w:firstLine="480" w:firstLineChars="200"/>
        <w:rPr>
          <w:sz w:val="24"/>
        </w:rPr>
      </w:pPr>
      <w:r>
        <w:rPr>
          <w:rFonts w:hint="eastAsia"/>
          <w:sz w:val="24"/>
        </w:rPr>
        <w:t>19.2就本条款而言，实质上响应要求的投标文件，应该与招标文件的规定要求、条件、条款和规范相符，无显著差异或保留。</w:t>
      </w:r>
    </w:p>
    <w:p>
      <w:pPr>
        <w:spacing w:line="360" w:lineRule="auto"/>
        <w:ind w:firstLine="480" w:firstLineChars="200"/>
        <w:rPr>
          <w:sz w:val="24"/>
        </w:rPr>
      </w:pPr>
      <w:r>
        <w:rPr>
          <w:rFonts w:hint="eastAsia"/>
          <w:sz w:val="24"/>
        </w:rPr>
        <w:t>19.3如果投标文件实质上不响应招标文件的要求，评标委员会将不允许通过修正或撤消不符合要求的差异或保留，使之成为具有响应性的投标。</w:t>
      </w:r>
    </w:p>
    <w:p>
      <w:pPr>
        <w:pStyle w:val="4"/>
      </w:pPr>
      <w:bookmarkStart w:id="52" w:name="_Hlt75236101"/>
      <w:bookmarkEnd w:id="52"/>
      <w:bookmarkStart w:id="53" w:name="_Toc91899902"/>
      <w:bookmarkStart w:id="54" w:name="_Toc523909746"/>
      <w:bookmarkStart w:id="55" w:name="_Toc5198071"/>
      <w:r>
        <w:rPr>
          <w:rFonts w:hint="eastAsia"/>
        </w:rPr>
        <w:t>六、评标</w:t>
      </w:r>
      <w:bookmarkEnd w:id="53"/>
      <w:bookmarkEnd w:id="54"/>
      <w:bookmarkEnd w:id="55"/>
    </w:p>
    <w:p>
      <w:pPr>
        <w:spacing w:line="360" w:lineRule="auto"/>
        <w:ind w:firstLine="482" w:firstLineChars="200"/>
        <w:rPr>
          <w:b/>
          <w:sz w:val="24"/>
        </w:rPr>
      </w:pPr>
      <w:bookmarkStart w:id="56" w:name="_Toc91899903"/>
      <w:r>
        <w:rPr>
          <w:rFonts w:hint="eastAsia"/>
          <w:b/>
          <w:sz w:val="24"/>
        </w:rPr>
        <w:t>20.评标组织</w:t>
      </w:r>
    </w:p>
    <w:p>
      <w:pPr>
        <w:spacing w:line="360" w:lineRule="auto"/>
        <w:ind w:firstLine="480" w:firstLineChars="200"/>
        <w:rPr>
          <w:sz w:val="24"/>
        </w:rPr>
      </w:pPr>
      <w:r>
        <w:rPr>
          <w:rFonts w:hint="eastAsia"/>
          <w:sz w:val="24"/>
        </w:rPr>
        <w:t>招标组织机构依照相关法规，组建由5人及以上奇数人员组成评标委员会，</w:t>
      </w:r>
      <w:r>
        <w:rPr>
          <w:sz w:val="24"/>
        </w:rPr>
        <w:t>其中</w:t>
      </w:r>
      <w:r>
        <w:rPr>
          <w:rFonts w:hint="eastAsia"/>
          <w:sz w:val="24"/>
        </w:rPr>
        <w:t>招标人代表不得超过1人且不能担任评标委员会组长，相关</w:t>
      </w:r>
      <w:r>
        <w:rPr>
          <w:sz w:val="24"/>
        </w:rPr>
        <w:t>专家不少于成员总数的2/3</w:t>
      </w:r>
      <w:r>
        <w:rPr>
          <w:rFonts w:hint="eastAsia"/>
          <w:sz w:val="24"/>
        </w:rPr>
        <w:t>。评标委员会负责对投标文件进行审查（审查内容包括资格性检查和符合性检查在内的</w:t>
      </w:r>
      <w:r>
        <w:rPr>
          <w:sz w:val="24"/>
        </w:rPr>
        <w:t>投标文件初审</w:t>
      </w:r>
      <w:r>
        <w:rPr>
          <w:rFonts w:hint="eastAsia"/>
          <w:sz w:val="24"/>
        </w:rPr>
        <w:t>，</w:t>
      </w:r>
      <w:r>
        <w:rPr>
          <w:sz w:val="24"/>
        </w:rPr>
        <w:t>不另行提供</w:t>
      </w:r>
      <w:r>
        <w:rPr>
          <w:rFonts w:hint="eastAsia"/>
          <w:sz w:val="24"/>
        </w:rPr>
        <w:t>书面授权）、质询、评审和比较等，并形成书面的评标结果。</w:t>
      </w:r>
    </w:p>
    <w:p>
      <w:pPr>
        <w:spacing w:line="360" w:lineRule="auto"/>
        <w:ind w:firstLine="482" w:firstLineChars="200"/>
        <w:rPr>
          <w:b/>
          <w:sz w:val="24"/>
        </w:rPr>
      </w:pPr>
      <w:r>
        <w:rPr>
          <w:rFonts w:hint="eastAsia"/>
          <w:b/>
          <w:sz w:val="24"/>
        </w:rPr>
        <w:t>21.评标原则</w:t>
      </w:r>
    </w:p>
    <w:p>
      <w:pPr>
        <w:spacing w:line="360" w:lineRule="auto"/>
        <w:ind w:firstLine="480" w:firstLineChars="200"/>
        <w:rPr>
          <w:sz w:val="24"/>
        </w:rPr>
      </w:pPr>
      <w:r>
        <w:rPr>
          <w:rFonts w:hint="eastAsia"/>
          <w:sz w:val="24"/>
        </w:rPr>
        <w:t>21.1 认真贯彻国家有关政府采购的法律、法规和政策，维护国家利益。</w:t>
      </w:r>
    </w:p>
    <w:p>
      <w:pPr>
        <w:spacing w:line="360" w:lineRule="auto"/>
        <w:ind w:firstLine="480" w:firstLineChars="200"/>
        <w:rPr>
          <w:sz w:val="24"/>
        </w:rPr>
      </w:pPr>
      <w:r>
        <w:rPr>
          <w:rFonts w:hint="eastAsia"/>
          <w:sz w:val="24"/>
        </w:rPr>
        <w:t>21.2 维护采购人的合法权益。</w:t>
      </w:r>
    </w:p>
    <w:p>
      <w:pPr>
        <w:spacing w:line="360" w:lineRule="auto"/>
        <w:ind w:firstLine="480" w:firstLineChars="200"/>
        <w:rPr>
          <w:sz w:val="24"/>
        </w:rPr>
      </w:pPr>
      <w:r>
        <w:rPr>
          <w:rFonts w:hint="eastAsia"/>
          <w:sz w:val="24"/>
        </w:rPr>
        <w:t>21.3 客观、公正地对待投标人，对所有投标人的投标评审，均采用相同的程序和标准。</w:t>
      </w:r>
    </w:p>
    <w:p>
      <w:pPr>
        <w:spacing w:line="360" w:lineRule="auto"/>
        <w:ind w:firstLine="480" w:firstLineChars="200"/>
        <w:rPr>
          <w:sz w:val="24"/>
        </w:rPr>
      </w:pPr>
      <w:r>
        <w:rPr>
          <w:rFonts w:hint="eastAsia"/>
          <w:sz w:val="24"/>
        </w:rPr>
        <w:t>21.4评标要严格按照招标文件的要求和条件进行。</w:t>
      </w:r>
    </w:p>
    <w:p>
      <w:pPr>
        <w:spacing w:line="360" w:lineRule="auto"/>
        <w:ind w:firstLine="480" w:firstLineChars="200"/>
        <w:rPr>
          <w:sz w:val="24"/>
        </w:rPr>
      </w:pPr>
      <w:r>
        <w:rPr>
          <w:rFonts w:hint="eastAsia"/>
          <w:sz w:val="24"/>
        </w:rPr>
        <w:t>21.5 评标过程中及评标结束后，评标委员会的评标情况和所有投标人的商业秘密都属于保密内容。</w:t>
      </w:r>
    </w:p>
    <w:p>
      <w:pPr>
        <w:spacing w:line="360" w:lineRule="auto"/>
        <w:ind w:firstLine="482" w:firstLineChars="200"/>
        <w:rPr>
          <w:b/>
          <w:sz w:val="24"/>
        </w:rPr>
      </w:pPr>
      <w:r>
        <w:rPr>
          <w:rFonts w:hint="eastAsia"/>
          <w:b/>
          <w:sz w:val="24"/>
        </w:rPr>
        <w:t>22.评标程序</w:t>
      </w:r>
    </w:p>
    <w:p>
      <w:pPr>
        <w:spacing w:line="360" w:lineRule="auto"/>
        <w:ind w:firstLine="480" w:firstLineChars="200"/>
        <w:rPr>
          <w:sz w:val="24"/>
        </w:rPr>
      </w:pPr>
      <w:r>
        <w:rPr>
          <w:rFonts w:hint="eastAsia"/>
          <w:sz w:val="24"/>
        </w:rPr>
        <w:t>22.1 本项目评标一般将按以下程序进行：投标文件初审、澄清有关问题、投标文件技术与商务部分的比较与评价、报价文件的比较与评审、推荐中标候选人和编写评标报告等。</w:t>
      </w:r>
    </w:p>
    <w:p>
      <w:pPr>
        <w:spacing w:line="360" w:lineRule="auto"/>
        <w:ind w:firstLine="482" w:firstLineChars="200"/>
        <w:rPr>
          <w:b/>
          <w:sz w:val="24"/>
        </w:rPr>
      </w:pPr>
      <w:r>
        <w:rPr>
          <w:rFonts w:hint="eastAsia"/>
          <w:b/>
          <w:sz w:val="24"/>
        </w:rPr>
        <w:t>22.2投标文件初审包括资格性检查和符合性检查。</w:t>
      </w:r>
    </w:p>
    <w:p>
      <w:pPr>
        <w:spacing w:line="360" w:lineRule="auto"/>
        <w:ind w:firstLine="480" w:firstLineChars="200"/>
        <w:rPr>
          <w:b/>
          <w:sz w:val="24"/>
        </w:rPr>
      </w:pPr>
      <w:r>
        <w:rPr>
          <w:rFonts w:hint="eastAsia"/>
          <w:sz w:val="24"/>
        </w:rPr>
        <w:t>22.2.1资格性检查：</w:t>
      </w:r>
      <w:r>
        <w:rPr>
          <w:sz w:val="24"/>
        </w:rPr>
        <w:t>依据法律法规和招标文件的规定，对投标文件中的资格证明</w:t>
      </w:r>
      <w:r>
        <w:rPr>
          <w:rFonts w:hint="eastAsia"/>
          <w:sz w:val="24"/>
        </w:rPr>
        <w:t>等</w:t>
      </w:r>
      <w:r>
        <w:rPr>
          <w:sz w:val="24"/>
        </w:rPr>
        <w:t>进行审查，以确定投标</w:t>
      </w:r>
      <w:r>
        <w:rPr>
          <w:rFonts w:hint="eastAsia"/>
          <w:sz w:val="24"/>
        </w:rPr>
        <w:t>人</w:t>
      </w:r>
      <w:r>
        <w:rPr>
          <w:sz w:val="24"/>
        </w:rPr>
        <w:t>是否具备投标资格。</w:t>
      </w:r>
      <w:r>
        <w:rPr>
          <w:rFonts w:hint="eastAsia"/>
          <w:b/>
          <w:sz w:val="24"/>
        </w:rPr>
        <w:t>资格性检查不合格的投标人则无须继续进行符合性检查，并且投标文件初审结论不合格。</w:t>
      </w:r>
    </w:p>
    <w:p>
      <w:pPr>
        <w:spacing w:line="360" w:lineRule="auto"/>
        <w:ind w:firstLine="480" w:firstLineChars="200"/>
        <w:rPr>
          <w:b/>
          <w:sz w:val="24"/>
        </w:rPr>
      </w:pPr>
      <w:r>
        <w:rPr>
          <w:rFonts w:hint="eastAsia"/>
          <w:sz w:val="24"/>
        </w:rPr>
        <w:t>22.2.2</w:t>
      </w:r>
      <w:r>
        <w:rPr>
          <w:sz w:val="24"/>
        </w:rPr>
        <w:t>符合性检查</w:t>
      </w:r>
      <w:r>
        <w:rPr>
          <w:rFonts w:hint="eastAsia"/>
          <w:sz w:val="24"/>
        </w:rPr>
        <w:t>：</w:t>
      </w:r>
      <w:r>
        <w:rPr>
          <w:sz w:val="24"/>
        </w:rPr>
        <w:t>依据招标文件的规定，从投标文件的</w:t>
      </w:r>
      <w:r>
        <w:rPr>
          <w:rFonts w:hint="eastAsia"/>
          <w:sz w:val="24"/>
        </w:rPr>
        <w:t>商务、技术文件</w:t>
      </w:r>
      <w:r>
        <w:rPr>
          <w:sz w:val="24"/>
        </w:rPr>
        <w:t>有效性、完整性和对招标文件的响应程度进行审查，以确定是否对招标文件的实质性要求作出响应。</w:t>
      </w:r>
      <w:r>
        <w:rPr>
          <w:rFonts w:hint="eastAsia"/>
          <w:b/>
          <w:sz w:val="24"/>
        </w:rPr>
        <w:t>符合性检查不合格的投标人，投标文件初审结论不合格。</w:t>
      </w:r>
    </w:p>
    <w:p>
      <w:pPr>
        <w:spacing w:line="360" w:lineRule="auto"/>
        <w:ind w:firstLine="480" w:firstLineChars="200"/>
        <w:rPr>
          <w:sz w:val="24"/>
        </w:rPr>
      </w:pPr>
      <w:r>
        <w:rPr>
          <w:rFonts w:hint="eastAsia"/>
          <w:sz w:val="24"/>
        </w:rPr>
        <w:t>22.2.3投标文件初审结论合格的投标人进入评标后续程序。投标文件初审不合格结论及其理由需通知所有投标人。</w:t>
      </w:r>
    </w:p>
    <w:p>
      <w:pPr>
        <w:spacing w:line="360" w:lineRule="auto"/>
        <w:ind w:firstLine="480" w:firstLineChars="200"/>
        <w:rPr>
          <w:sz w:val="24"/>
        </w:rPr>
      </w:pPr>
      <w:r>
        <w:rPr>
          <w:rFonts w:hint="eastAsia"/>
          <w:sz w:val="24"/>
        </w:rPr>
        <w:t>22.3投标文件的澄清。</w:t>
      </w:r>
      <w:r>
        <w:rPr>
          <w:sz w:val="24"/>
        </w:rPr>
        <w:t>对投标文件中含义不明确、同类问题表述不一致或者有明显文字和计算错误的内容，评标委员会可以书面形式要求投标人作出必要的澄清、说明或者纠正。投标人的澄清、说明或者</w:t>
      </w:r>
      <w:r>
        <w:rPr>
          <w:rFonts w:hint="eastAsia"/>
          <w:sz w:val="24"/>
        </w:rPr>
        <w:t>纠正</w:t>
      </w:r>
      <w:r>
        <w:rPr>
          <w:sz w:val="24"/>
        </w:rPr>
        <w:t>应当采用书面形式，由</w:t>
      </w:r>
      <w:r>
        <w:rPr>
          <w:rFonts w:hint="eastAsia"/>
          <w:sz w:val="24"/>
        </w:rPr>
        <w:t>投标人</w:t>
      </w:r>
      <w:r>
        <w:rPr>
          <w:sz w:val="24"/>
        </w:rPr>
        <w:t>代表签字，并不得超出投标文件的范围或者改变投标文件的实质性内容。</w:t>
      </w:r>
    </w:p>
    <w:p>
      <w:pPr>
        <w:spacing w:line="360" w:lineRule="auto"/>
        <w:ind w:firstLine="480" w:firstLineChars="200"/>
        <w:rPr>
          <w:sz w:val="24"/>
        </w:rPr>
      </w:pPr>
      <w:r>
        <w:rPr>
          <w:rFonts w:hint="eastAsia"/>
          <w:sz w:val="24"/>
        </w:rPr>
        <w:t>22.4 比较与评审。按招标文件中规定的评标方法和标准，对资格性检查和符合性检查合格的投标文件进行商务、技术、价格比较和评审。</w:t>
      </w:r>
    </w:p>
    <w:p>
      <w:pPr>
        <w:spacing w:line="360" w:lineRule="auto"/>
        <w:ind w:firstLine="480" w:firstLineChars="200"/>
        <w:rPr>
          <w:sz w:val="24"/>
        </w:rPr>
      </w:pPr>
      <w:r>
        <w:rPr>
          <w:rFonts w:hint="eastAsia"/>
          <w:sz w:val="24"/>
        </w:rPr>
        <w:t>22.5 推荐中标候选人。根据评标情况，确定中标候选人。</w:t>
      </w:r>
    </w:p>
    <w:p>
      <w:pPr>
        <w:spacing w:line="360" w:lineRule="auto"/>
        <w:ind w:firstLine="480" w:firstLineChars="200"/>
        <w:rPr>
          <w:sz w:val="24"/>
        </w:rPr>
      </w:pPr>
      <w:r>
        <w:rPr>
          <w:rFonts w:hint="eastAsia"/>
          <w:sz w:val="24"/>
        </w:rPr>
        <w:t>22.6 编写评标报告。</w:t>
      </w:r>
    </w:p>
    <w:p>
      <w:pPr>
        <w:spacing w:line="360" w:lineRule="auto"/>
        <w:ind w:firstLine="482" w:firstLineChars="200"/>
        <w:rPr>
          <w:b/>
          <w:sz w:val="24"/>
        </w:rPr>
      </w:pPr>
      <w:r>
        <w:rPr>
          <w:rFonts w:hint="eastAsia"/>
          <w:b/>
          <w:sz w:val="24"/>
        </w:rPr>
        <w:t>23.评标方法</w:t>
      </w:r>
    </w:p>
    <w:p>
      <w:pPr>
        <w:spacing w:line="360" w:lineRule="auto"/>
        <w:ind w:firstLine="482" w:firstLineChars="200"/>
        <w:rPr>
          <w:b/>
          <w:sz w:val="24"/>
        </w:rPr>
      </w:pPr>
      <w:r>
        <w:rPr>
          <w:rFonts w:hint="eastAsia"/>
          <w:b/>
          <w:sz w:val="24"/>
        </w:rPr>
        <w:t>23.1综合评分法：在最大限度地满足招标文件实质性要求前提下，按照招标文件中规定的各项因素进行综合评审后，以评标总得分最高的投标人作为中标候选人。</w:t>
      </w:r>
    </w:p>
    <w:p>
      <w:pPr>
        <w:spacing w:line="360" w:lineRule="auto"/>
        <w:ind w:firstLine="480" w:firstLineChars="200"/>
        <w:rPr>
          <w:sz w:val="24"/>
        </w:rPr>
      </w:pPr>
      <w:r>
        <w:rPr>
          <w:rFonts w:hint="eastAsia"/>
          <w:sz w:val="24"/>
        </w:rPr>
        <w:t>23.1.1  评标委员会对投标文件初审合格的投标人进行综合评分，投标人的综合得分为技术、商务和价格部分的总计分，得分采用百分制。</w:t>
      </w:r>
    </w:p>
    <w:p>
      <w:pPr>
        <w:spacing w:line="360" w:lineRule="auto"/>
        <w:ind w:firstLine="480" w:firstLineChars="200"/>
        <w:rPr>
          <w:sz w:val="24"/>
        </w:rPr>
      </w:pPr>
      <w:r>
        <w:rPr>
          <w:rFonts w:hint="eastAsia"/>
          <w:sz w:val="24"/>
        </w:rPr>
        <w:t xml:space="preserve">23.1.2评标中，先进行商务、技术部分评分，评标委员会每人一张记名评分表，分值保留至小数点后一位。评标委员会成员的有效评分的算术平均值（保留至小数点后两位）为各投标人商务、技术部分的最终评分值。招标组织机构在公布商务、技术部分得分后再开启报价文件进行唱标。使用综合评分法的采购项目，提供的全部核心产品均为相同品牌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  </w:t>
      </w:r>
    </w:p>
    <w:p>
      <w:pPr>
        <w:spacing w:line="360" w:lineRule="auto"/>
        <w:ind w:firstLine="480" w:firstLineChars="200"/>
        <w:rPr>
          <w:sz w:val="24"/>
        </w:rPr>
      </w:pPr>
      <w:r>
        <w:rPr>
          <w:rFonts w:hint="eastAsia"/>
          <w:sz w:val="24"/>
        </w:rPr>
        <w:t>23.1.3评标委员会将综合得分最高的投标人，作为中标候选人向采购人推荐，并提交评标报告。得分相同的，按投标报价由低到高顺序排列，得分且投标报价相同的并列。</w:t>
      </w:r>
    </w:p>
    <w:p>
      <w:pPr>
        <w:spacing w:line="360" w:lineRule="auto"/>
        <w:ind w:firstLine="480" w:firstLineChars="200"/>
        <w:rPr>
          <w:sz w:val="24"/>
        </w:rPr>
      </w:pPr>
      <w:r>
        <w:rPr>
          <w:rFonts w:hint="eastAsia"/>
          <w:sz w:val="24"/>
        </w:rPr>
        <w:t>23.1.4如果评标委员会认为本次投标不具有竞争性，可不予推荐本次招标的中标候选人。</w:t>
      </w:r>
    </w:p>
    <w:p>
      <w:pPr>
        <w:spacing w:line="360" w:lineRule="auto"/>
        <w:ind w:firstLine="482" w:firstLineChars="200"/>
        <w:rPr>
          <w:b/>
          <w:bCs/>
          <w:sz w:val="24"/>
        </w:rPr>
      </w:pPr>
      <w:r>
        <w:rPr>
          <w:rFonts w:hint="eastAsia"/>
          <w:b/>
          <w:bCs/>
          <w:sz w:val="24"/>
        </w:rPr>
        <w:t>23.2最低评标价法：即在全部满足招标文件实质性要求前提下，依据统一的价格要素评定价格，以提出最低报价的投标人作为中标候选人的评标方法。</w:t>
      </w:r>
    </w:p>
    <w:p>
      <w:pPr>
        <w:spacing w:line="360" w:lineRule="auto"/>
        <w:ind w:firstLine="480" w:firstLineChars="200"/>
        <w:rPr>
          <w:sz w:val="24"/>
        </w:rPr>
      </w:pPr>
      <w:r>
        <w:rPr>
          <w:rFonts w:hint="eastAsia"/>
          <w:sz w:val="24"/>
        </w:rPr>
        <w:t>23.2.1最低评标价法的投标报价为一次性最终报价。</w:t>
      </w:r>
    </w:p>
    <w:p>
      <w:pPr>
        <w:spacing w:line="360" w:lineRule="auto"/>
        <w:ind w:firstLine="480" w:firstLineChars="200"/>
        <w:rPr>
          <w:sz w:val="24"/>
        </w:rPr>
      </w:pPr>
      <w:r>
        <w:rPr>
          <w:rFonts w:hint="eastAsia"/>
          <w:sz w:val="24"/>
        </w:rPr>
        <w:t>23.2.2提供的全部核心产品均为相同品牌的不同投标人参加同一合同项下投标的，以其中通过资格审查、符合性审查且报价最低的参加评标;</w:t>
      </w:r>
    </w:p>
    <w:p>
      <w:pPr>
        <w:spacing w:line="360" w:lineRule="auto"/>
        <w:ind w:firstLine="480" w:firstLineChars="200"/>
        <w:rPr>
          <w:color w:val="FF0000"/>
          <w:sz w:val="24"/>
        </w:rPr>
      </w:pPr>
      <w:r>
        <w:rPr>
          <w:rFonts w:hint="eastAsia"/>
          <w:sz w:val="24"/>
        </w:rPr>
        <w:t>23.2.3投标文件满足招标文件全部实质性要求且投标报价最低的投标人为排名第一的中标候选人。投标报价相同的并列。</w:t>
      </w:r>
    </w:p>
    <w:p>
      <w:pPr>
        <w:spacing w:line="360" w:lineRule="auto"/>
        <w:ind w:firstLine="480" w:firstLineChars="200"/>
        <w:rPr>
          <w:sz w:val="24"/>
        </w:rPr>
      </w:pPr>
      <w:r>
        <w:rPr>
          <w:rFonts w:hint="eastAsia"/>
          <w:sz w:val="24"/>
        </w:rPr>
        <w:t>23.2.4报价是中标的一个重要因素，但最低报价不是中标的唯一依据。</w:t>
      </w:r>
    </w:p>
    <w:p>
      <w:pPr>
        <w:spacing w:line="360" w:lineRule="auto"/>
        <w:ind w:firstLine="480" w:firstLineChars="200"/>
        <w:rPr>
          <w:sz w:val="24"/>
        </w:rPr>
      </w:pPr>
      <w:r>
        <w:rPr>
          <w:rFonts w:hint="eastAsia"/>
          <w:sz w:val="24"/>
        </w:rPr>
        <w:t xml:space="preserve">23.2.5如果评标委员会认为本次投标情况不具有竞争性，不予推荐本次招标的中标候选人。 </w:t>
      </w:r>
    </w:p>
    <w:p>
      <w:pPr>
        <w:spacing w:line="360" w:lineRule="auto"/>
        <w:ind w:firstLine="482" w:firstLineChars="200"/>
        <w:rPr>
          <w:b/>
          <w:sz w:val="24"/>
        </w:rPr>
      </w:pPr>
      <w:r>
        <w:rPr>
          <w:rFonts w:hint="eastAsia"/>
          <w:b/>
          <w:sz w:val="24"/>
        </w:rPr>
        <w:t>24.无效投标</w:t>
      </w:r>
    </w:p>
    <w:p>
      <w:pPr>
        <w:spacing w:line="360" w:lineRule="auto"/>
        <w:ind w:firstLine="482" w:firstLineChars="200"/>
        <w:rPr>
          <w:b/>
          <w:sz w:val="24"/>
        </w:rPr>
      </w:pPr>
      <w:r>
        <w:rPr>
          <w:rFonts w:hint="eastAsia"/>
          <w:b/>
          <w:sz w:val="24"/>
        </w:rPr>
        <w:t>24.1投标文件属于下列情况之一的，应当在资格性、符合性检查时按照无效投标处理：</w:t>
      </w:r>
    </w:p>
    <w:p>
      <w:pPr>
        <w:spacing w:line="360" w:lineRule="auto"/>
        <w:ind w:firstLine="480" w:firstLineChars="200"/>
        <w:rPr>
          <w:sz w:val="24"/>
        </w:rPr>
      </w:pPr>
      <w:r>
        <w:rPr>
          <w:rFonts w:hint="eastAsia"/>
          <w:sz w:val="24"/>
        </w:rPr>
        <w:t>24.1.1 投标文件未提供有效的授权委托书或投标人代表身份与授权书内容不一致的；应交未交投标保证金的；</w:t>
      </w:r>
    </w:p>
    <w:p>
      <w:pPr>
        <w:spacing w:line="360" w:lineRule="auto"/>
        <w:ind w:firstLine="480" w:firstLineChars="200"/>
        <w:rPr>
          <w:sz w:val="24"/>
        </w:rPr>
      </w:pPr>
      <w:r>
        <w:rPr>
          <w:rFonts w:hint="eastAsia"/>
          <w:sz w:val="24"/>
        </w:rPr>
        <w:t>24.1.2投标文件未按照招标文件“15.”要求密封、装订、签署、盖章的；投标文件份数未按招标文件前附表规定提供的；</w:t>
      </w:r>
    </w:p>
    <w:p>
      <w:pPr>
        <w:spacing w:line="360" w:lineRule="auto"/>
        <w:ind w:firstLine="480" w:firstLineChars="200"/>
        <w:rPr>
          <w:sz w:val="24"/>
        </w:rPr>
      </w:pPr>
      <w:r>
        <w:rPr>
          <w:rFonts w:hint="eastAsia"/>
          <w:sz w:val="24"/>
        </w:rPr>
        <w:t>24.1.3 资格证明文件不全的，或者不符合招标文件标明的资格要求的；</w:t>
      </w:r>
    </w:p>
    <w:p>
      <w:pPr>
        <w:spacing w:line="360" w:lineRule="auto"/>
        <w:ind w:firstLine="480" w:firstLineChars="200"/>
        <w:rPr>
          <w:sz w:val="24"/>
        </w:rPr>
      </w:pPr>
      <w:r>
        <w:rPr>
          <w:rFonts w:hint="eastAsia"/>
          <w:sz w:val="24"/>
        </w:rPr>
        <w:t>24.1.4投标文件不响应招标文件的实质性规定与采购需求的实质性内容的；投标内容有重大缺项或者涂改模糊处未作有效修正或者实质性内容表述矛盾歧义，评标委员会不能确认为有效的；</w:t>
      </w:r>
    </w:p>
    <w:p>
      <w:pPr>
        <w:spacing w:line="360" w:lineRule="auto"/>
        <w:ind w:firstLine="480" w:firstLineChars="200"/>
        <w:rPr>
          <w:sz w:val="24"/>
        </w:rPr>
      </w:pPr>
      <w:r>
        <w:rPr>
          <w:rFonts w:hint="eastAsia"/>
          <w:sz w:val="24"/>
        </w:rPr>
        <w:t>24.1.</w:t>
      </w:r>
      <w:r>
        <w:rPr>
          <w:sz w:val="24"/>
        </w:rPr>
        <w:t>5</w:t>
      </w:r>
      <w:r>
        <w:rPr>
          <w:rFonts w:hint="eastAsia"/>
          <w:sz w:val="24"/>
        </w:rPr>
        <w:t>有证据证明投标人违背有关法律、法规投标的；</w:t>
      </w:r>
    </w:p>
    <w:p>
      <w:pPr>
        <w:spacing w:line="360" w:lineRule="auto"/>
        <w:ind w:firstLine="480" w:firstLineChars="200"/>
        <w:rPr>
          <w:sz w:val="24"/>
        </w:rPr>
      </w:pPr>
      <w:r>
        <w:rPr>
          <w:rFonts w:hint="eastAsia"/>
          <w:sz w:val="24"/>
        </w:rPr>
        <w:t>24.1.</w:t>
      </w:r>
      <w:r>
        <w:rPr>
          <w:sz w:val="24"/>
        </w:rPr>
        <w:t>6不符合法律、法规</w:t>
      </w:r>
      <w:r>
        <w:rPr>
          <w:rFonts w:hint="eastAsia"/>
          <w:sz w:val="24"/>
        </w:rPr>
        <w:t>或投标文件有招标方不能接受的附加条件的；</w:t>
      </w:r>
    </w:p>
    <w:p>
      <w:pPr>
        <w:spacing w:line="360" w:lineRule="auto"/>
        <w:ind w:firstLine="480" w:firstLineChars="200"/>
        <w:rPr>
          <w:sz w:val="24"/>
        </w:rPr>
      </w:pPr>
      <w:r>
        <w:rPr>
          <w:rFonts w:hint="eastAsia"/>
          <w:sz w:val="24"/>
        </w:rPr>
        <w:t>24.1.</w:t>
      </w:r>
      <w:r>
        <w:rPr>
          <w:sz w:val="24"/>
        </w:rPr>
        <w:t>7</w:t>
      </w:r>
      <w:r>
        <w:rPr>
          <w:rFonts w:hint="eastAsia"/>
          <w:sz w:val="24"/>
        </w:rPr>
        <w:t>根据招标文件要求，评标委员会认为应当作无效投标的其他情况。</w:t>
      </w:r>
    </w:p>
    <w:p>
      <w:pPr>
        <w:spacing w:line="360" w:lineRule="auto"/>
        <w:ind w:firstLine="480" w:firstLineChars="200"/>
        <w:rPr>
          <w:sz w:val="24"/>
        </w:rPr>
      </w:pPr>
      <w:r>
        <w:rPr>
          <w:rFonts w:hint="eastAsia"/>
          <w:sz w:val="24"/>
        </w:rPr>
        <w:t>24.1.</w:t>
      </w:r>
      <w:r>
        <w:rPr>
          <w:sz w:val="24"/>
        </w:rPr>
        <w:t>8</w:t>
      </w:r>
      <w:r>
        <w:rPr>
          <w:rFonts w:hint="eastAsia"/>
          <w:sz w:val="24"/>
        </w:rPr>
        <w:t>有下列情形之一的，视为投标人串通投标，其投标无效：</w:t>
      </w:r>
    </w:p>
    <w:p>
      <w:pPr>
        <w:spacing w:line="360" w:lineRule="auto"/>
        <w:ind w:firstLine="480" w:firstLineChars="200"/>
        <w:rPr>
          <w:sz w:val="24"/>
        </w:rPr>
      </w:pPr>
      <w:r>
        <w:rPr>
          <w:rFonts w:hint="eastAsia"/>
          <w:sz w:val="24"/>
        </w:rPr>
        <w:t>（1）不同投标人的投标文件由同一单位或者个人编制；</w:t>
      </w:r>
    </w:p>
    <w:p>
      <w:pPr>
        <w:spacing w:line="360" w:lineRule="auto"/>
        <w:ind w:firstLine="480" w:firstLineChars="200"/>
        <w:rPr>
          <w:sz w:val="24"/>
        </w:rPr>
      </w:pPr>
      <w:r>
        <w:rPr>
          <w:rFonts w:hint="eastAsia"/>
          <w:sz w:val="24"/>
        </w:rPr>
        <w:t>（2）不同投标人委托同一单位或者个人办理投标事宜；</w:t>
      </w:r>
    </w:p>
    <w:p>
      <w:pPr>
        <w:spacing w:line="360" w:lineRule="auto"/>
        <w:ind w:firstLine="480" w:firstLineChars="200"/>
        <w:rPr>
          <w:sz w:val="24"/>
        </w:rPr>
      </w:pPr>
      <w:r>
        <w:rPr>
          <w:rFonts w:hint="eastAsia"/>
          <w:sz w:val="24"/>
        </w:rPr>
        <w:t>（3）不同投标人的投标文件载明的项目管理成员或者联系人员为同一人；</w:t>
      </w:r>
    </w:p>
    <w:p>
      <w:pPr>
        <w:spacing w:line="360" w:lineRule="auto"/>
        <w:ind w:firstLine="480" w:firstLineChars="200"/>
        <w:rPr>
          <w:sz w:val="24"/>
        </w:rPr>
      </w:pPr>
      <w:r>
        <w:rPr>
          <w:rFonts w:hint="eastAsia"/>
          <w:sz w:val="24"/>
        </w:rPr>
        <w:t>（4）不同投标人的投标文件异常一致或者投标报价呈现规律性差异；</w:t>
      </w:r>
    </w:p>
    <w:p>
      <w:pPr>
        <w:spacing w:line="360" w:lineRule="auto"/>
        <w:ind w:firstLine="480" w:firstLineChars="200"/>
        <w:rPr>
          <w:sz w:val="24"/>
        </w:rPr>
      </w:pPr>
      <w:r>
        <w:rPr>
          <w:rFonts w:hint="eastAsia"/>
          <w:sz w:val="24"/>
        </w:rPr>
        <w:t>（5）不同投标人的投标文件相互混装；</w:t>
      </w:r>
    </w:p>
    <w:p>
      <w:pPr>
        <w:spacing w:line="360" w:lineRule="auto"/>
        <w:ind w:firstLine="480" w:firstLineChars="200"/>
        <w:rPr>
          <w:sz w:val="24"/>
        </w:rPr>
      </w:pPr>
      <w:r>
        <w:rPr>
          <w:rFonts w:hint="eastAsia"/>
          <w:sz w:val="24"/>
        </w:rPr>
        <w:t>（6）不同投标人的投标保证金从同一单位或者个人帐户转出。</w:t>
      </w:r>
    </w:p>
    <w:p>
      <w:pPr>
        <w:spacing w:line="360" w:lineRule="auto"/>
        <w:ind w:firstLine="480" w:firstLineChars="200"/>
        <w:rPr>
          <w:sz w:val="24"/>
        </w:rPr>
      </w:pPr>
      <w:r>
        <w:rPr>
          <w:rFonts w:hint="eastAsia"/>
          <w:sz w:val="24"/>
        </w:rPr>
        <w:t>24.2 投标文件有下属情况之一的，应当在报价文件评审时按照无效标处理：</w:t>
      </w:r>
    </w:p>
    <w:p>
      <w:pPr>
        <w:spacing w:line="360" w:lineRule="auto"/>
        <w:ind w:firstLine="480" w:firstLineChars="200"/>
        <w:rPr>
          <w:sz w:val="24"/>
        </w:rPr>
      </w:pPr>
      <w:r>
        <w:rPr>
          <w:rFonts w:hint="eastAsia"/>
          <w:sz w:val="24"/>
        </w:rPr>
        <w:t>24.2.1 报价文件未按照招标文件规定要求密封、装订、签署、盖章的；</w:t>
      </w:r>
    </w:p>
    <w:p>
      <w:pPr>
        <w:spacing w:line="360" w:lineRule="auto"/>
        <w:ind w:firstLine="480" w:firstLineChars="200"/>
        <w:rPr>
          <w:sz w:val="24"/>
        </w:rPr>
      </w:pPr>
      <w:r>
        <w:rPr>
          <w:rFonts w:hint="eastAsia"/>
          <w:sz w:val="24"/>
        </w:rPr>
        <w:t>24.2.2报价超过招标文件中规定的预算金额或者最高限价的；</w:t>
      </w:r>
    </w:p>
    <w:p>
      <w:pPr>
        <w:spacing w:line="360" w:lineRule="auto"/>
        <w:ind w:firstLine="480" w:firstLineChars="200"/>
        <w:rPr>
          <w:sz w:val="24"/>
        </w:rPr>
      </w:pPr>
      <w:r>
        <w:rPr>
          <w:rFonts w:hint="eastAsia"/>
          <w:sz w:val="24"/>
        </w:rPr>
        <w:t>24.2.3投标报价具有选择性的；</w:t>
      </w:r>
    </w:p>
    <w:p>
      <w:pPr>
        <w:spacing w:line="360" w:lineRule="auto"/>
        <w:ind w:firstLine="480" w:firstLineChars="200"/>
        <w:rPr>
          <w:sz w:val="24"/>
        </w:rPr>
      </w:pPr>
      <w:r>
        <w:rPr>
          <w:rFonts w:hint="eastAsia"/>
          <w:sz w:val="24"/>
        </w:rPr>
        <w:t>24.2.4 评标委员会认为投标人的报价明显低于其他通过符合性审查投标人的报价，有可能影响产品质量或者不能诚信履约的，而投标人又不能作出合理说明或提供相关证明材料的；</w:t>
      </w:r>
    </w:p>
    <w:p>
      <w:pPr>
        <w:spacing w:line="360" w:lineRule="auto"/>
        <w:ind w:firstLine="480" w:firstLineChars="200"/>
        <w:rPr>
          <w:sz w:val="24"/>
        </w:rPr>
      </w:pPr>
      <w:r>
        <w:rPr>
          <w:rFonts w:hint="eastAsia"/>
          <w:sz w:val="24"/>
        </w:rPr>
        <w:t>24.2.5投标报价明细表合计总价与投标函投标总价不一致，且高于或低于投标总价5%的；</w:t>
      </w:r>
    </w:p>
    <w:p>
      <w:pPr>
        <w:spacing w:line="360" w:lineRule="auto"/>
        <w:ind w:firstLine="480" w:firstLineChars="200"/>
        <w:rPr>
          <w:sz w:val="24"/>
        </w:rPr>
      </w:pPr>
      <w:r>
        <w:rPr>
          <w:rFonts w:hint="eastAsia"/>
          <w:sz w:val="24"/>
        </w:rPr>
        <w:t>24.2.6 报价文件内容与商务、技术文件内容严重不一致，评标委员会无法评审的；</w:t>
      </w:r>
    </w:p>
    <w:p>
      <w:pPr>
        <w:spacing w:line="360" w:lineRule="auto"/>
        <w:ind w:firstLine="480" w:firstLineChars="200"/>
        <w:rPr>
          <w:sz w:val="24"/>
        </w:rPr>
      </w:pPr>
      <w:r>
        <w:rPr>
          <w:rFonts w:hint="eastAsia"/>
          <w:sz w:val="24"/>
        </w:rPr>
        <w:t>24.2.7根据法律、法规或招标文件要求，评标委员会认为应当作无效投标的其他情况。</w:t>
      </w:r>
    </w:p>
    <w:p>
      <w:pPr>
        <w:spacing w:line="360" w:lineRule="auto"/>
        <w:ind w:firstLine="482" w:firstLineChars="200"/>
        <w:rPr>
          <w:b/>
          <w:sz w:val="24"/>
        </w:rPr>
      </w:pPr>
      <w:r>
        <w:rPr>
          <w:rFonts w:hint="eastAsia"/>
          <w:b/>
          <w:sz w:val="24"/>
        </w:rPr>
        <w:t>25. 废标</w:t>
      </w:r>
    </w:p>
    <w:p>
      <w:pPr>
        <w:spacing w:line="360" w:lineRule="auto"/>
        <w:ind w:firstLine="482" w:firstLineChars="200"/>
        <w:rPr>
          <w:b/>
          <w:sz w:val="24"/>
        </w:rPr>
      </w:pPr>
      <w:r>
        <w:rPr>
          <w:rFonts w:hint="eastAsia"/>
          <w:b/>
          <w:sz w:val="24"/>
        </w:rPr>
        <w:t>在招标采购中，出现下列情形之一的，应予</w:t>
      </w:r>
      <w:r>
        <w:rPr>
          <w:rFonts w:hint="eastAsia" w:ascii="黑体" w:eastAsia="黑体"/>
          <w:b/>
          <w:sz w:val="24"/>
        </w:rPr>
        <w:t>废标</w:t>
      </w:r>
      <w:r>
        <w:rPr>
          <w:rFonts w:hint="eastAsia"/>
          <w:b/>
          <w:sz w:val="24"/>
        </w:rPr>
        <w:t>：</w:t>
      </w:r>
    </w:p>
    <w:p>
      <w:pPr>
        <w:spacing w:line="360" w:lineRule="auto"/>
        <w:ind w:firstLine="480" w:firstLineChars="200"/>
        <w:rPr>
          <w:sz w:val="24"/>
        </w:rPr>
      </w:pPr>
      <w:r>
        <w:rPr>
          <w:rFonts w:hint="eastAsia"/>
          <w:sz w:val="24"/>
        </w:rPr>
        <w:t>(1)符合专业条件的供应商或者对采购文件作实质响应的供应商不足三家的；</w:t>
      </w:r>
    </w:p>
    <w:p>
      <w:pPr>
        <w:spacing w:line="360" w:lineRule="auto"/>
        <w:ind w:firstLine="480" w:firstLineChars="200"/>
        <w:rPr>
          <w:sz w:val="24"/>
        </w:rPr>
      </w:pPr>
      <w:r>
        <w:rPr>
          <w:rFonts w:hint="eastAsia"/>
          <w:sz w:val="24"/>
        </w:rPr>
        <w:t>(2)出现影响采购公正的违法、违规行为的；</w:t>
      </w:r>
    </w:p>
    <w:p>
      <w:pPr>
        <w:spacing w:line="360" w:lineRule="auto"/>
        <w:ind w:firstLine="480" w:firstLineChars="200"/>
        <w:rPr>
          <w:sz w:val="24"/>
        </w:rPr>
      </w:pPr>
      <w:r>
        <w:rPr>
          <w:rFonts w:hint="eastAsia"/>
          <w:sz w:val="24"/>
        </w:rPr>
        <w:t>(3)投标人的报价均超过了采购预算，用户单位不能支付的；</w:t>
      </w:r>
    </w:p>
    <w:p>
      <w:pPr>
        <w:spacing w:line="360" w:lineRule="auto"/>
        <w:ind w:firstLine="480" w:firstLineChars="200"/>
        <w:rPr>
          <w:sz w:val="24"/>
        </w:rPr>
      </w:pPr>
      <w:r>
        <w:rPr>
          <w:rFonts w:hint="eastAsia"/>
          <w:sz w:val="24"/>
        </w:rPr>
        <w:t>(4)因重大变故，采购任务取消的；</w:t>
      </w:r>
    </w:p>
    <w:p>
      <w:pPr>
        <w:spacing w:line="360" w:lineRule="auto"/>
        <w:ind w:firstLine="480" w:firstLineChars="200"/>
        <w:rPr>
          <w:sz w:val="24"/>
        </w:rPr>
      </w:pPr>
      <w:r>
        <w:rPr>
          <w:rFonts w:hint="eastAsia"/>
          <w:sz w:val="24"/>
        </w:rPr>
        <w:t>(5)评标委员会未推荐中标候选人的。</w:t>
      </w:r>
    </w:p>
    <w:p>
      <w:pPr>
        <w:spacing w:line="360" w:lineRule="auto"/>
        <w:ind w:firstLine="480" w:firstLineChars="200"/>
        <w:rPr>
          <w:sz w:val="24"/>
        </w:rPr>
      </w:pPr>
      <w:r>
        <w:rPr>
          <w:rFonts w:hint="eastAsia"/>
          <w:sz w:val="24"/>
        </w:rPr>
        <w:t>第一款按照有关法律法规，除作为废标外可经批准后采取其他方式采购。废标后，应当将废标理由通知所有投标人。</w:t>
      </w:r>
    </w:p>
    <w:bookmarkEnd w:id="56"/>
    <w:p>
      <w:pPr>
        <w:spacing w:line="360" w:lineRule="auto"/>
        <w:ind w:firstLine="482" w:firstLineChars="200"/>
        <w:rPr>
          <w:b/>
          <w:sz w:val="24"/>
        </w:rPr>
      </w:pPr>
      <w:bookmarkStart w:id="57" w:name="_Toc86216994"/>
      <w:r>
        <w:rPr>
          <w:rFonts w:hint="eastAsia"/>
          <w:b/>
          <w:sz w:val="24"/>
        </w:rPr>
        <w:t>26. 评标内容的保密</w:t>
      </w:r>
    </w:p>
    <w:p>
      <w:pPr>
        <w:spacing w:line="360" w:lineRule="auto"/>
        <w:ind w:firstLine="480" w:firstLineChars="200"/>
        <w:rPr>
          <w:sz w:val="24"/>
        </w:rPr>
      </w:pPr>
      <w:r>
        <w:rPr>
          <w:rFonts w:hint="eastAsia"/>
          <w:sz w:val="24"/>
        </w:rPr>
        <w:t>26.1</w:t>
      </w:r>
      <w:r>
        <w:rPr>
          <w:rFonts w:hint="eastAsia"/>
          <w:b/>
          <w:bCs/>
          <w:sz w:val="24"/>
        </w:rPr>
        <w:t xml:space="preserve"> 公开开标后，直到确定中标单位止，</w:t>
      </w:r>
      <w:r>
        <w:rPr>
          <w:rFonts w:hint="eastAsia"/>
          <w:sz w:val="24"/>
        </w:rPr>
        <w:t>凡属于审查、澄清、评价和比较投标的所有资料，都不应向投标人或与评标无关的其他人泄漏。</w:t>
      </w:r>
    </w:p>
    <w:p>
      <w:pPr>
        <w:spacing w:line="360" w:lineRule="auto"/>
        <w:ind w:firstLine="480" w:firstLineChars="200"/>
        <w:rPr>
          <w:sz w:val="24"/>
        </w:rPr>
      </w:pPr>
      <w:r>
        <w:rPr>
          <w:rFonts w:hint="eastAsia"/>
          <w:sz w:val="24"/>
        </w:rPr>
        <w:t>26.2 在投标文件的审查、澄清、评价和比较以及确定中标单位过程中，投标人对招标组织机构和评标委员会施加影响的任何行为，都将导致取消中标资格。</w:t>
      </w:r>
    </w:p>
    <w:p>
      <w:pPr>
        <w:pStyle w:val="4"/>
      </w:pPr>
      <w:bookmarkStart w:id="58" w:name="_Toc5198072"/>
      <w:bookmarkStart w:id="59" w:name="_Toc523909747"/>
      <w:r>
        <w:rPr>
          <w:rFonts w:hint="eastAsia"/>
        </w:rPr>
        <w:t>七、定标</w:t>
      </w:r>
      <w:bookmarkEnd w:id="57"/>
      <w:bookmarkEnd w:id="58"/>
      <w:bookmarkEnd w:id="59"/>
    </w:p>
    <w:p>
      <w:pPr>
        <w:spacing w:line="360" w:lineRule="auto"/>
        <w:ind w:firstLine="482" w:firstLineChars="200"/>
        <w:rPr>
          <w:b/>
          <w:sz w:val="24"/>
        </w:rPr>
      </w:pPr>
      <w:r>
        <w:rPr>
          <w:rFonts w:hint="eastAsia"/>
          <w:b/>
          <w:sz w:val="24"/>
        </w:rPr>
        <w:t>27. 定标</w:t>
      </w:r>
    </w:p>
    <w:p>
      <w:pPr>
        <w:spacing w:line="360" w:lineRule="auto"/>
        <w:ind w:firstLine="480" w:firstLineChars="200"/>
        <w:rPr>
          <w:sz w:val="24"/>
        </w:rPr>
      </w:pPr>
      <w:bookmarkStart w:id="60" w:name="_Hlt75236103"/>
      <w:bookmarkEnd w:id="60"/>
      <w:bookmarkStart w:id="61" w:name="_Toc86216995"/>
      <w:bookmarkStart w:id="62" w:name="_Toc91899910"/>
      <w:r>
        <w:rPr>
          <w:rFonts w:hint="eastAsia"/>
          <w:sz w:val="24"/>
        </w:rPr>
        <w:t>27.1采购人或经采购人委托的评标委员会按评标报告确定</w:t>
      </w:r>
      <w:r>
        <w:rPr>
          <w:rFonts w:hint="eastAsia"/>
          <w:color w:val="FF0000"/>
          <w:sz w:val="24"/>
        </w:rPr>
        <w:t>中标人</w:t>
      </w:r>
      <w:r>
        <w:rPr>
          <w:rFonts w:hint="eastAsia"/>
          <w:sz w:val="24"/>
        </w:rPr>
        <w:t>。（中标候选人并列的，采取随机抽取方式确定中标人。）</w:t>
      </w:r>
    </w:p>
    <w:p>
      <w:pPr>
        <w:spacing w:line="360" w:lineRule="auto"/>
        <w:ind w:firstLine="480" w:firstLineChars="200"/>
        <w:rPr>
          <w:sz w:val="24"/>
        </w:rPr>
      </w:pPr>
      <w:r>
        <w:rPr>
          <w:rFonts w:hint="eastAsia"/>
          <w:sz w:val="24"/>
        </w:rPr>
        <w:t>27.2中标通知书发放。采购人确定中标人后，发放中标通知书。</w:t>
      </w:r>
    </w:p>
    <w:p>
      <w:pPr>
        <w:spacing w:line="360" w:lineRule="auto"/>
        <w:ind w:firstLine="480" w:firstLineChars="200"/>
        <w:rPr>
          <w:sz w:val="24"/>
        </w:rPr>
      </w:pPr>
    </w:p>
    <w:p>
      <w:pPr>
        <w:pStyle w:val="4"/>
        <w:rPr>
          <w:rFonts w:hint="eastAsia"/>
        </w:rPr>
      </w:pPr>
      <w:bookmarkStart w:id="63" w:name="_Toc523909748"/>
      <w:bookmarkStart w:id="64" w:name="_Toc5198073"/>
    </w:p>
    <w:p>
      <w:pPr>
        <w:pStyle w:val="4"/>
        <w:jc w:val="center"/>
      </w:pPr>
      <w:r>
        <w:rPr>
          <w:rFonts w:hint="eastAsia"/>
        </w:rPr>
        <w:t>八、</w:t>
      </w:r>
      <w:bookmarkEnd w:id="61"/>
      <w:r>
        <w:rPr>
          <w:rFonts w:hint="eastAsia"/>
        </w:rPr>
        <w:t>合同签订及其他</w:t>
      </w:r>
      <w:bookmarkEnd w:id="63"/>
      <w:bookmarkEnd w:id="64"/>
    </w:p>
    <w:bookmarkEnd w:id="62"/>
    <w:p>
      <w:pPr>
        <w:spacing w:line="360" w:lineRule="auto"/>
        <w:ind w:firstLine="482" w:firstLineChars="200"/>
        <w:rPr>
          <w:b/>
          <w:sz w:val="24"/>
        </w:rPr>
      </w:pPr>
      <w:r>
        <w:rPr>
          <w:rFonts w:hint="eastAsia"/>
          <w:b/>
          <w:sz w:val="24"/>
        </w:rPr>
        <w:t>28.合同的签订</w:t>
      </w:r>
    </w:p>
    <w:p>
      <w:pPr>
        <w:spacing w:line="360" w:lineRule="auto"/>
        <w:ind w:firstLine="480" w:firstLineChars="200"/>
        <w:rPr>
          <w:sz w:val="24"/>
        </w:rPr>
      </w:pPr>
      <w:r>
        <w:rPr>
          <w:rFonts w:hint="eastAsia"/>
          <w:sz w:val="24"/>
        </w:rPr>
        <w:t>28.1采购人与中标人应当在《中标通知书》发出之日起30日内按照招标文件和中标人投标文件的约定签订政府采购合同。</w:t>
      </w:r>
    </w:p>
    <w:p>
      <w:pPr>
        <w:spacing w:line="360" w:lineRule="auto"/>
        <w:ind w:firstLine="480" w:firstLineChars="200"/>
        <w:rPr>
          <w:sz w:val="24"/>
        </w:rPr>
      </w:pPr>
      <w:r>
        <w:rPr>
          <w:rFonts w:hint="eastAsia"/>
          <w:sz w:val="24"/>
        </w:rPr>
        <w:t>28.2投标人全部接受合同条件并签订合同后，中标通知书亦成为合同的组成部分。</w:t>
      </w:r>
    </w:p>
    <w:p>
      <w:pPr>
        <w:spacing w:line="360" w:lineRule="auto"/>
        <w:ind w:firstLine="480" w:firstLineChars="200"/>
        <w:rPr>
          <w:sz w:val="24"/>
        </w:rPr>
      </w:pPr>
      <w:r>
        <w:rPr>
          <w:rFonts w:hint="eastAsia"/>
          <w:sz w:val="24"/>
        </w:rPr>
        <w:t xml:space="preserve">28.3如中标人拒绝承担中标的项目，或提出采购人不能接受的条件，致使合同无法签订，其中标资格将被取消，并不再退还其投标保证金。 </w:t>
      </w:r>
    </w:p>
    <w:p>
      <w:pPr>
        <w:spacing w:line="360" w:lineRule="auto"/>
        <w:ind w:firstLine="480" w:firstLineChars="200"/>
        <w:rPr>
          <w:sz w:val="24"/>
        </w:rPr>
      </w:pPr>
      <w:r>
        <w:rPr>
          <w:rFonts w:hint="eastAsia"/>
          <w:sz w:val="24"/>
        </w:rPr>
        <w:t>28.4在中标人签订合同并生效后，中标人即为供应商。</w:t>
      </w:r>
    </w:p>
    <w:p>
      <w:pPr>
        <w:spacing w:line="360" w:lineRule="auto"/>
        <w:ind w:firstLine="482" w:firstLineChars="200"/>
        <w:rPr>
          <w:b/>
          <w:sz w:val="24"/>
        </w:rPr>
      </w:pPr>
      <w:r>
        <w:rPr>
          <w:rFonts w:hint="eastAsia"/>
          <w:b/>
          <w:sz w:val="24"/>
        </w:rPr>
        <w:t>29.履约保证金、质量保证金</w:t>
      </w:r>
    </w:p>
    <w:p>
      <w:pPr>
        <w:spacing w:line="360" w:lineRule="auto"/>
        <w:ind w:firstLine="480" w:firstLineChars="200"/>
        <w:rPr>
          <w:sz w:val="24"/>
        </w:rPr>
      </w:pPr>
      <w:r>
        <w:rPr>
          <w:rFonts w:hint="eastAsia"/>
          <w:sz w:val="24"/>
        </w:rPr>
        <w:t>中标人凭中标通知书向采购人缴纳前附表第</w:t>
      </w:r>
      <w:r>
        <w:rPr>
          <w:sz w:val="24"/>
        </w:rPr>
        <w:t>7</w:t>
      </w:r>
      <w:r>
        <w:rPr>
          <w:rFonts w:hint="eastAsia"/>
          <w:sz w:val="24"/>
        </w:rPr>
        <w:t>项规定额度的履约保证金，若在合同履行期间有违约行为的，按合同约定扣除相应的履约保证金。货物类项目经采购人验收合格后，中标单位向采购人交纳质量保证金，采购人同时退付履约保证金；质保期结束且无质量问题，采购人无息退还供方质量保证金。服务类项目至服务期结束，采购人退付履约保证金，并根据实际情况自行确定是否需要供应商交纳一定额度的质量保证金。</w:t>
      </w:r>
    </w:p>
    <w:p>
      <w:pPr>
        <w:spacing w:line="360" w:lineRule="auto"/>
        <w:ind w:firstLine="482" w:firstLineChars="200"/>
        <w:rPr>
          <w:b/>
          <w:sz w:val="24"/>
        </w:rPr>
      </w:pPr>
      <w:r>
        <w:rPr>
          <w:rFonts w:hint="eastAsia"/>
          <w:b/>
          <w:sz w:val="24"/>
        </w:rPr>
        <w:t>3</w:t>
      </w:r>
      <w:r>
        <w:rPr>
          <w:b/>
          <w:sz w:val="24"/>
        </w:rPr>
        <w:t>0</w:t>
      </w:r>
      <w:r>
        <w:rPr>
          <w:rFonts w:hint="eastAsia"/>
          <w:b/>
          <w:sz w:val="24"/>
        </w:rPr>
        <w:t>.资金结算方式</w:t>
      </w:r>
    </w:p>
    <w:p>
      <w:pPr>
        <w:spacing w:line="360" w:lineRule="auto"/>
        <w:ind w:firstLine="480" w:firstLineChars="200"/>
        <w:rPr>
          <w:sz w:val="24"/>
        </w:rPr>
      </w:pPr>
      <w:r>
        <w:rPr>
          <w:rFonts w:hint="eastAsia"/>
          <w:sz w:val="24"/>
        </w:rPr>
        <w:t>按合同约定执行。</w:t>
      </w:r>
    </w:p>
    <w:p>
      <w:pPr>
        <w:spacing w:line="360" w:lineRule="auto"/>
        <w:ind w:firstLine="482" w:firstLineChars="200"/>
        <w:rPr>
          <w:b/>
          <w:sz w:val="24"/>
        </w:rPr>
      </w:pPr>
      <w:r>
        <w:rPr>
          <w:rFonts w:hint="eastAsia"/>
          <w:b/>
          <w:sz w:val="24"/>
        </w:rPr>
        <w:t>3</w:t>
      </w:r>
      <w:r>
        <w:rPr>
          <w:b/>
          <w:sz w:val="24"/>
        </w:rPr>
        <w:t>1</w:t>
      </w:r>
      <w:r>
        <w:rPr>
          <w:rFonts w:hint="eastAsia"/>
          <w:b/>
          <w:sz w:val="24"/>
        </w:rPr>
        <w:t>.质疑与投诉</w:t>
      </w:r>
    </w:p>
    <w:p>
      <w:pPr>
        <w:spacing w:line="360" w:lineRule="auto"/>
        <w:ind w:firstLine="480" w:firstLineChars="200"/>
        <w:rPr>
          <w:sz w:val="24"/>
        </w:rPr>
      </w:pPr>
      <w:r>
        <w:rPr>
          <w:rFonts w:hint="eastAsia"/>
          <w:sz w:val="24"/>
        </w:rPr>
        <w:t>3</w:t>
      </w:r>
      <w:r>
        <w:rPr>
          <w:sz w:val="24"/>
        </w:rPr>
        <w:t>1</w:t>
      </w:r>
      <w:r>
        <w:rPr>
          <w:rFonts w:hint="eastAsia"/>
          <w:sz w:val="24"/>
        </w:rPr>
        <w:t>.1投标人对政府采购活动认为自己的权益受到损害的，应当在知道或者应知其权益受到损害之日起七个工作日内向采购人</w:t>
      </w:r>
      <w:r>
        <w:rPr>
          <w:rFonts w:hint="eastAsia"/>
        </w:rPr>
        <w:t>或代理机构</w:t>
      </w:r>
      <w:r>
        <w:rPr>
          <w:rFonts w:hint="eastAsia"/>
          <w:sz w:val="24"/>
        </w:rPr>
        <w:t>提出书面质疑，采购人将在七个工作日内作出答复，但答复的内容不得涉及商业秘密。</w:t>
      </w:r>
    </w:p>
    <w:p>
      <w:pPr>
        <w:spacing w:line="360" w:lineRule="auto"/>
        <w:ind w:firstLine="480" w:firstLineChars="200"/>
        <w:rPr>
          <w:sz w:val="24"/>
        </w:rPr>
      </w:pPr>
      <w:r>
        <w:rPr>
          <w:rFonts w:hint="eastAsia"/>
          <w:sz w:val="24"/>
        </w:rPr>
        <w:t>3</w:t>
      </w:r>
      <w:r>
        <w:rPr>
          <w:sz w:val="24"/>
        </w:rPr>
        <w:t>1.</w:t>
      </w:r>
      <w:r>
        <w:rPr>
          <w:rFonts w:hint="eastAsia"/>
          <w:sz w:val="24"/>
        </w:rPr>
        <w:t>2质疑的投标人对采购人或代理机构的答复不满意或者未在规定的时间内作出答复的，质疑</w:t>
      </w:r>
      <w:r>
        <w:rPr>
          <w:sz w:val="24"/>
        </w:rPr>
        <w:t>人须做好答复的签收工作</w:t>
      </w:r>
      <w:r>
        <w:rPr>
          <w:rFonts w:hint="eastAsia"/>
          <w:sz w:val="24"/>
        </w:rPr>
        <w:t>，</w:t>
      </w:r>
      <w:r>
        <w:rPr>
          <w:sz w:val="24"/>
        </w:rPr>
        <w:t>之后</w:t>
      </w:r>
      <w:r>
        <w:rPr>
          <w:rFonts w:hint="eastAsia"/>
          <w:sz w:val="24"/>
        </w:rPr>
        <w:t>可以在答复期满后十五个工作日内向上及部门提出投诉。</w:t>
      </w:r>
    </w:p>
    <w:p>
      <w:bookmarkStart w:id="65" w:name="_Toc331323740"/>
    </w:p>
    <w:p>
      <w:pPr>
        <w:pStyle w:val="3"/>
      </w:pPr>
      <w:r>
        <w:br w:type="page"/>
      </w:r>
      <w:bookmarkStart w:id="66" w:name="_Toc523909749"/>
      <w:bookmarkStart w:id="67" w:name="_Toc5198074"/>
      <w:r>
        <w:rPr>
          <w:rFonts w:hint="eastAsia"/>
        </w:rPr>
        <w:t>第二节  投标人须知之专用条款</w:t>
      </w:r>
      <w:bookmarkEnd w:id="65"/>
      <w:bookmarkEnd w:id="66"/>
      <w:bookmarkEnd w:id="67"/>
    </w:p>
    <w:p>
      <w:pPr>
        <w:pStyle w:val="4"/>
        <w:jc w:val="center"/>
      </w:pPr>
      <w:bookmarkStart w:id="68" w:name="_Toc5198075"/>
      <w:bookmarkStart w:id="69" w:name="_Toc523909750"/>
      <w:r>
        <w:rPr>
          <w:rFonts w:hint="eastAsia"/>
        </w:rPr>
        <w:t>一、专用条款</w:t>
      </w:r>
      <w:bookmarkEnd w:id="68"/>
      <w:bookmarkEnd w:id="69"/>
    </w:p>
    <w:p>
      <w:pPr>
        <w:spacing w:line="360" w:lineRule="auto"/>
        <w:ind w:firstLine="482" w:firstLineChars="200"/>
        <w:rPr>
          <w:b/>
          <w:sz w:val="24"/>
        </w:rPr>
      </w:pPr>
      <w:r>
        <w:rPr>
          <w:rFonts w:hint="eastAsia"/>
          <w:b/>
          <w:sz w:val="24"/>
        </w:rPr>
        <w:t>3</w:t>
      </w:r>
      <w:r>
        <w:rPr>
          <w:b/>
          <w:sz w:val="24"/>
        </w:rPr>
        <w:t>2</w:t>
      </w:r>
      <w:r>
        <w:rPr>
          <w:rFonts w:hint="eastAsia"/>
          <w:b/>
          <w:sz w:val="24"/>
        </w:rPr>
        <w:t>.投标文件组成的特别要求</w:t>
      </w:r>
    </w:p>
    <w:p>
      <w:pPr>
        <w:spacing w:line="360" w:lineRule="auto"/>
        <w:ind w:firstLine="236" w:firstLineChars="98"/>
        <w:rPr>
          <w:b/>
          <w:sz w:val="24"/>
        </w:rPr>
      </w:pPr>
      <w:r>
        <w:rPr>
          <w:rFonts w:hint="eastAsia"/>
          <w:b/>
          <w:sz w:val="24"/>
        </w:rPr>
        <w:t>/</w:t>
      </w:r>
    </w:p>
    <w:p>
      <w:pPr>
        <w:spacing w:line="360" w:lineRule="auto"/>
        <w:ind w:firstLine="480" w:firstLineChars="200"/>
        <w:rPr>
          <w:sz w:val="24"/>
        </w:rPr>
      </w:pPr>
      <w:r>
        <w:rPr>
          <w:rFonts w:hint="eastAsia"/>
          <w:sz w:val="24"/>
        </w:rPr>
        <w:t>3</w:t>
      </w:r>
      <w:r>
        <w:rPr>
          <w:sz w:val="24"/>
        </w:rPr>
        <w:t>2</w:t>
      </w:r>
      <w:r>
        <w:rPr>
          <w:rFonts w:hint="eastAsia"/>
          <w:sz w:val="24"/>
        </w:rPr>
        <w:t>.2详见采购需求。</w:t>
      </w:r>
    </w:p>
    <w:p>
      <w:pPr>
        <w:spacing w:line="360" w:lineRule="auto"/>
        <w:ind w:firstLine="482" w:firstLineChars="200"/>
        <w:rPr>
          <w:b/>
          <w:sz w:val="24"/>
        </w:rPr>
      </w:pPr>
      <w:r>
        <w:rPr>
          <w:rFonts w:hint="eastAsia"/>
          <w:b/>
          <w:sz w:val="24"/>
        </w:rPr>
        <w:t>3</w:t>
      </w:r>
      <w:r>
        <w:rPr>
          <w:b/>
          <w:sz w:val="24"/>
        </w:rPr>
        <w:t>3</w:t>
      </w:r>
      <w:r>
        <w:rPr>
          <w:rFonts w:hint="eastAsia"/>
          <w:b/>
          <w:sz w:val="24"/>
        </w:rPr>
        <w:t>.投标报价</w:t>
      </w:r>
    </w:p>
    <w:p>
      <w:pPr>
        <w:spacing w:line="360" w:lineRule="auto"/>
        <w:ind w:right="585" w:rightChars="266" w:firstLine="480" w:firstLineChars="200"/>
        <w:rPr>
          <w:sz w:val="24"/>
        </w:rPr>
      </w:pPr>
      <w:r>
        <w:rPr>
          <w:rFonts w:hint="eastAsia"/>
          <w:sz w:val="24"/>
          <w:u w:val="single"/>
        </w:rPr>
        <w:t>（服务）</w:t>
      </w:r>
      <w:r>
        <w:rPr>
          <w:rFonts w:hint="eastAsia"/>
          <w:sz w:val="24"/>
        </w:rPr>
        <w:t>投标人的报价是投标人响应招标项目要求的全部工作内容的价格体现，包括投标人完成本项目所需的一切费用。</w:t>
      </w:r>
    </w:p>
    <w:p>
      <w:pPr>
        <w:spacing w:line="367" w:lineRule="auto"/>
        <w:jc w:val="both"/>
        <w:sectPr>
          <w:footerReference r:id="rId5" w:type="default"/>
          <w:pgSz w:w="11910" w:h="16840"/>
          <w:pgMar w:top="1260" w:right="420" w:bottom="1220" w:left="980" w:header="887" w:footer="1039" w:gutter="0"/>
          <w:cols w:space="720" w:num="1"/>
        </w:sectPr>
      </w:pPr>
      <w:r>
        <w:br w:type="page"/>
      </w:r>
    </w:p>
    <w:p>
      <w:pPr>
        <w:pStyle w:val="6"/>
        <w:tabs>
          <w:tab w:val="left" w:pos="1221"/>
        </w:tabs>
        <w:spacing w:before="128"/>
      </w:pPr>
      <w:bookmarkStart w:id="70" w:name="34.评分细则"/>
      <w:bookmarkEnd w:id="70"/>
      <w:r>
        <w:rPr>
          <w:rFonts w:hint="eastAsia"/>
        </w:rPr>
        <w:t>34.</w:t>
      </w:r>
      <w:r>
        <w:t>评分细则</w:t>
      </w:r>
    </w:p>
    <w:p>
      <w:pPr>
        <w:pStyle w:val="13"/>
        <w:tabs>
          <w:tab w:val="left" w:pos="918"/>
          <w:tab w:val="left" w:pos="919"/>
        </w:tabs>
        <w:spacing w:before="163"/>
        <w:ind w:left="918" w:firstLine="0"/>
        <w:rPr>
          <w:sz w:val="24"/>
        </w:rPr>
      </w:pPr>
      <w:r>
        <w:rPr>
          <w:rFonts w:hint="eastAsia"/>
          <w:sz w:val="24"/>
        </w:rPr>
        <w:t>34.1</w:t>
      </w:r>
      <w:r>
        <w:rPr>
          <w:sz w:val="24"/>
        </w:rPr>
        <w:t xml:space="preserve"> 商务技术评分表（80 分）</w:t>
      </w:r>
    </w:p>
    <w:p>
      <w:pPr>
        <w:pStyle w:val="8"/>
        <w:spacing w:before="8" w:after="1"/>
        <w:rPr>
          <w:sz w:val="12"/>
        </w:rPr>
      </w:pPr>
    </w:p>
    <w:tbl>
      <w:tblPr>
        <w:tblStyle w:val="11"/>
        <w:tblW w:w="9626" w:type="dxa"/>
        <w:tblInd w:w="2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4"/>
        <w:gridCol w:w="6760"/>
        <w:gridCol w:w="992"/>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7784" w:type="dxa"/>
            <w:gridSpan w:val="2"/>
          </w:tcPr>
          <w:p>
            <w:pPr>
              <w:pStyle w:val="14"/>
              <w:spacing w:before="204"/>
              <w:ind w:left="3035" w:right="3018"/>
              <w:jc w:val="center"/>
              <w:rPr>
                <w:sz w:val="24"/>
              </w:rPr>
            </w:pPr>
            <w:r>
              <w:rPr>
                <w:sz w:val="24"/>
              </w:rPr>
              <w:t>评标内容及分值</w:t>
            </w:r>
          </w:p>
        </w:tc>
        <w:tc>
          <w:tcPr>
            <w:tcW w:w="992" w:type="dxa"/>
          </w:tcPr>
          <w:p>
            <w:pPr>
              <w:pStyle w:val="14"/>
              <w:spacing w:before="11" w:line="330" w:lineRule="atLeast"/>
              <w:ind w:left="379" w:right="120" w:hanging="240"/>
              <w:rPr>
                <w:sz w:val="24"/>
              </w:rPr>
            </w:pPr>
            <w:r>
              <w:rPr>
                <w:sz w:val="24"/>
              </w:rPr>
              <w:t>评分区间</w:t>
            </w:r>
          </w:p>
        </w:tc>
        <w:tc>
          <w:tcPr>
            <w:tcW w:w="850" w:type="dxa"/>
          </w:tcPr>
          <w:p>
            <w:pPr>
              <w:pStyle w:val="14"/>
              <w:spacing w:before="204"/>
              <w:ind w:left="188"/>
              <w:rPr>
                <w:sz w:val="24"/>
              </w:rPr>
            </w:pPr>
            <w:r>
              <w:rPr>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1024" w:type="dxa"/>
            <w:tcBorders>
              <w:bottom w:val="nil"/>
            </w:tcBorders>
          </w:tcPr>
          <w:p>
            <w:pPr>
              <w:pStyle w:val="14"/>
              <w:rPr>
                <w:rFonts w:ascii="Times New Roman"/>
              </w:rPr>
            </w:pPr>
          </w:p>
        </w:tc>
        <w:tc>
          <w:tcPr>
            <w:tcW w:w="6760" w:type="dxa"/>
          </w:tcPr>
          <w:p>
            <w:pPr>
              <w:pStyle w:val="14"/>
              <w:spacing w:before="148"/>
              <w:ind w:left="111"/>
              <w:rPr>
                <w:sz w:val="24"/>
              </w:rPr>
            </w:pPr>
            <w:r>
              <w:rPr>
                <w:sz w:val="24"/>
              </w:rPr>
              <w:t>根据投标人综合实力、履约能力等情况综合评定对比打分</w:t>
            </w:r>
          </w:p>
        </w:tc>
        <w:tc>
          <w:tcPr>
            <w:tcW w:w="992" w:type="dxa"/>
          </w:tcPr>
          <w:p>
            <w:pPr>
              <w:pStyle w:val="14"/>
              <w:spacing w:before="148"/>
              <w:ind w:right="120"/>
              <w:jc w:val="right"/>
              <w:rPr>
                <w:sz w:val="24"/>
              </w:rPr>
            </w:pPr>
            <w:r>
              <w:rPr>
                <w:sz w:val="24"/>
              </w:rPr>
              <w:t>2-4 分</w:t>
            </w:r>
          </w:p>
        </w:tc>
        <w:tc>
          <w:tcPr>
            <w:tcW w:w="850" w:type="dxa"/>
          </w:tcPr>
          <w:p>
            <w:pPr>
              <w:pStyle w:val="14"/>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1024" w:type="dxa"/>
            <w:tcBorders>
              <w:top w:val="nil"/>
              <w:bottom w:val="nil"/>
            </w:tcBorders>
          </w:tcPr>
          <w:p>
            <w:pPr>
              <w:pStyle w:val="14"/>
              <w:spacing w:before="9" w:line="305" w:lineRule="exact"/>
              <w:ind w:left="196" w:right="177"/>
              <w:jc w:val="center"/>
              <w:rPr>
                <w:sz w:val="24"/>
              </w:rPr>
            </w:pPr>
            <w:r>
              <w:rPr>
                <w:sz w:val="24"/>
              </w:rPr>
              <w:t>商 务</w:t>
            </w:r>
          </w:p>
        </w:tc>
        <w:tc>
          <w:tcPr>
            <w:tcW w:w="6760" w:type="dxa"/>
            <w:tcBorders>
              <w:bottom w:val="nil"/>
            </w:tcBorders>
          </w:tcPr>
          <w:p>
            <w:pPr>
              <w:pStyle w:val="14"/>
              <w:spacing w:before="19" w:line="296" w:lineRule="exact"/>
              <w:ind w:left="111"/>
              <w:rPr>
                <w:sz w:val="24"/>
              </w:rPr>
            </w:pPr>
            <w:r>
              <w:rPr>
                <w:sz w:val="24"/>
              </w:rPr>
              <w:t>投标人经营状况</w:t>
            </w:r>
          </w:p>
        </w:tc>
        <w:tc>
          <w:tcPr>
            <w:tcW w:w="992" w:type="dxa"/>
            <w:tcBorders>
              <w:bottom w:val="nil"/>
            </w:tcBorders>
          </w:tcPr>
          <w:p>
            <w:pPr>
              <w:pStyle w:val="14"/>
              <w:rPr>
                <w:rFonts w:ascii="Times New Roman"/>
              </w:rPr>
            </w:pPr>
          </w:p>
        </w:tc>
        <w:tc>
          <w:tcPr>
            <w:tcW w:w="850" w:type="dxa"/>
            <w:vMerge w:val="restart"/>
          </w:tcPr>
          <w:p>
            <w:pPr>
              <w:pStyle w:val="14"/>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24" w:type="dxa"/>
            <w:tcBorders>
              <w:top w:val="nil"/>
              <w:bottom w:val="nil"/>
            </w:tcBorders>
          </w:tcPr>
          <w:p>
            <w:pPr>
              <w:pStyle w:val="14"/>
              <w:spacing w:before="8" w:line="302" w:lineRule="exact"/>
              <w:ind w:left="196" w:right="177"/>
              <w:jc w:val="center"/>
              <w:rPr>
                <w:sz w:val="24"/>
              </w:rPr>
            </w:pPr>
            <w:r>
              <w:rPr>
                <w:sz w:val="24"/>
              </w:rPr>
              <w:t>资 信</w:t>
            </w:r>
          </w:p>
        </w:tc>
        <w:tc>
          <w:tcPr>
            <w:tcW w:w="6760" w:type="dxa"/>
            <w:tcBorders>
              <w:top w:val="nil"/>
              <w:bottom w:val="nil"/>
            </w:tcBorders>
          </w:tcPr>
          <w:p>
            <w:pPr>
              <w:pStyle w:val="14"/>
              <w:spacing w:before="15" w:line="294" w:lineRule="exact"/>
              <w:ind w:left="111"/>
              <w:rPr>
                <w:sz w:val="24"/>
              </w:rPr>
            </w:pPr>
            <w:r>
              <w:rPr>
                <w:sz w:val="24"/>
              </w:rPr>
              <w:t>（根据投标人经营类似项目时间长短、投标人服务网点或分支</w:t>
            </w:r>
          </w:p>
        </w:tc>
        <w:tc>
          <w:tcPr>
            <w:tcW w:w="992" w:type="dxa"/>
            <w:tcBorders>
              <w:top w:val="nil"/>
              <w:bottom w:val="nil"/>
            </w:tcBorders>
          </w:tcPr>
          <w:p>
            <w:pPr>
              <w:pStyle w:val="14"/>
              <w:spacing w:before="15" w:line="294" w:lineRule="exact"/>
              <w:ind w:right="120"/>
              <w:jc w:val="right"/>
              <w:rPr>
                <w:sz w:val="24"/>
              </w:rPr>
            </w:pPr>
            <w:r>
              <w:rPr>
                <w:sz w:val="24"/>
              </w:rPr>
              <w:t>2-6 分</w:t>
            </w: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024" w:type="dxa"/>
            <w:tcBorders>
              <w:top w:val="nil"/>
              <w:bottom w:val="nil"/>
            </w:tcBorders>
          </w:tcPr>
          <w:p>
            <w:pPr>
              <w:pStyle w:val="14"/>
              <w:spacing w:before="7" w:line="307" w:lineRule="exact"/>
              <w:ind w:left="19"/>
              <w:jc w:val="center"/>
              <w:rPr>
                <w:sz w:val="24"/>
              </w:rPr>
            </w:pPr>
            <w:r>
              <w:rPr>
                <w:sz w:val="24"/>
              </w:rPr>
              <w:t>分</w:t>
            </w:r>
          </w:p>
        </w:tc>
        <w:tc>
          <w:tcPr>
            <w:tcW w:w="6760" w:type="dxa"/>
            <w:tcBorders>
              <w:top w:val="nil"/>
            </w:tcBorders>
          </w:tcPr>
          <w:p>
            <w:pPr>
              <w:pStyle w:val="14"/>
              <w:spacing w:before="16" w:line="297" w:lineRule="exact"/>
              <w:ind w:left="111"/>
              <w:rPr>
                <w:sz w:val="24"/>
              </w:rPr>
            </w:pPr>
            <w:r>
              <w:rPr>
                <w:sz w:val="24"/>
              </w:rPr>
              <w:t>机构数量等情况）</w:t>
            </w:r>
          </w:p>
        </w:tc>
        <w:tc>
          <w:tcPr>
            <w:tcW w:w="992" w:type="dxa"/>
            <w:tcBorders>
              <w:top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024" w:type="dxa"/>
            <w:tcBorders>
              <w:top w:val="nil"/>
            </w:tcBorders>
          </w:tcPr>
          <w:p>
            <w:pPr>
              <w:pStyle w:val="14"/>
              <w:spacing w:before="1" w:line="268" w:lineRule="auto"/>
              <w:ind w:left="276" w:right="255"/>
              <w:rPr>
                <w:sz w:val="24"/>
              </w:rPr>
            </w:pPr>
            <w:r>
              <w:rPr>
                <w:sz w:val="24"/>
              </w:rPr>
              <w:t>（30 分）</w:t>
            </w:r>
          </w:p>
        </w:tc>
        <w:tc>
          <w:tcPr>
            <w:tcW w:w="6760" w:type="dxa"/>
          </w:tcPr>
          <w:p>
            <w:pPr>
              <w:pStyle w:val="14"/>
              <w:spacing w:before="4" w:line="303" w:lineRule="exact"/>
              <w:ind w:left="111"/>
              <w:rPr>
                <w:sz w:val="24"/>
              </w:rPr>
            </w:pPr>
            <w:r>
              <w:rPr>
                <w:sz w:val="24"/>
              </w:rPr>
              <w:t>投标人 2019 年 1 月 1 日起管理过的类似项目业绩数量达到 10</w:t>
            </w:r>
          </w:p>
          <w:p>
            <w:pPr>
              <w:pStyle w:val="14"/>
              <w:spacing w:line="301" w:lineRule="exact"/>
              <w:ind w:left="111"/>
              <w:rPr>
                <w:sz w:val="24"/>
              </w:rPr>
            </w:pPr>
            <w:r>
              <w:rPr>
                <w:sz w:val="24"/>
              </w:rPr>
              <w:t>所学校得 2 分，每增加一所得 1 分，最高得 20 分。（须提供合</w:t>
            </w:r>
          </w:p>
          <w:p>
            <w:pPr>
              <w:pStyle w:val="14"/>
              <w:spacing w:before="10" w:line="286" w:lineRule="exact"/>
              <w:ind w:left="111" w:right="156"/>
              <w:rPr>
                <w:sz w:val="24"/>
              </w:rPr>
            </w:pPr>
            <w:r>
              <w:rPr>
                <w:sz w:val="24"/>
              </w:rPr>
              <w:t>同原件及对应增值税普通发票复印件，原件不提供或复印件与原件不符者不得分）。</w:t>
            </w:r>
          </w:p>
        </w:tc>
        <w:tc>
          <w:tcPr>
            <w:tcW w:w="992" w:type="dxa"/>
          </w:tcPr>
          <w:p>
            <w:pPr>
              <w:pStyle w:val="14"/>
              <w:rPr>
                <w:sz w:val="24"/>
              </w:rPr>
            </w:pPr>
          </w:p>
          <w:p>
            <w:pPr>
              <w:pStyle w:val="14"/>
              <w:spacing w:before="160"/>
              <w:ind w:right="60"/>
              <w:jc w:val="right"/>
              <w:rPr>
                <w:sz w:val="24"/>
              </w:rPr>
            </w:pPr>
            <w:r>
              <w:rPr>
                <w:sz w:val="24"/>
              </w:rPr>
              <w:t>0-20 分</w:t>
            </w:r>
          </w:p>
        </w:tc>
        <w:tc>
          <w:tcPr>
            <w:tcW w:w="850" w:type="dxa"/>
          </w:tcPr>
          <w:p>
            <w:pPr>
              <w:pStyle w:val="14"/>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024" w:type="dxa"/>
            <w:tcBorders>
              <w:bottom w:val="nil"/>
            </w:tcBorders>
          </w:tcPr>
          <w:p>
            <w:pPr>
              <w:pStyle w:val="14"/>
              <w:rPr>
                <w:rFonts w:ascii="Times New Roman"/>
              </w:rPr>
            </w:pPr>
          </w:p>
        </w:tc>
        <w:tc>
          <w:tcPr>
            <w:tcW w:w="6760" w:type="dxa"/>
            <w:tcBorders>
              <w:bottom w:val="nil"/>
            </w:tcBorders>
          </w:tcPr>
          <w:p>
            <w:pPr>
              <w:pStyle w:val="14"/>
              <w:spacing w:before="6" w:line="305" w:lineRule="exact"/>
              <w:ind w:left="111"/>
              <w:rPr>
                <w:sz w:val="24"/>
              </w:rPr>
            </w:pPr>
            <w:r>
              <w:rPr>
                <w:sz w:val="24"/>
              </w:rPr>
              <w:t>外籍教师服务整体设想及规划方案（对项目整体设想及规划，</w:t>
            </w:r>
          </w:p>
        </w:tc>
        <w:tc>
          <w:tcPr>
            <w:tcW w:w="992" w:type="dxa"/>
            <w:tcBorders>
              <w:bottom w:val="nil"/>
            </w:tcBorders>
          </w:tcPr>
          <w:p>
            <w:pPr>
              <w:pStyle w:val="14"/>
              <w:rPr>
                <w:rFonts w:ascii="Times New Roman"/>
              </w:rPr>
            </w:pPr>
          </w:p>
        </w:tc>
        <w:tc>
          <w:tcPr>
            <w:tcW w:w="850" w:type="dxa"/>
            <w:vMerge w:val="restart"/>
          </w:tcPr>
          <w:p>
            <w:pPr>
              <w:pStyle w:val="14"/>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024" w:type="dxa"/>
            <w:tcBorders>
              <w:top w:val="nil"/>
              <w:bottom w:val="nil"/>
            </w:tcBorders>
          </w:tcPr>
          <w:p>
            <w:pPr>
              <w:pStyle w:val="14"/>
              <w:rPr>
                <w:rFonts w:ascii="Times New Roman"/>
              </w:rPr>
            </w:pPr>
          </w:p>
        </w:tc>
        <w:tc>
          <w:tcPr>
            <w:tcW w:w="6760" w:type="dxa"/>
            <w:tcBorders>
              <w:top w:val="nil"/>
              <w:bottom w:val="nil"/>
            </w:tcBorders>
          </w:tcPr>
          <w:p>
            <w:pPr>
              <w:pStyle w:val="14"/>
              <w:spacing w:before="17"/>
              <w:ind w:left="111"/>
              <w:rPr>
                <w:sz w:val="24"/>
              </w:rPr>
            </w:pPr>
            <w:r>
              <w:rPr>
                <w:sz w:val="24"/>
              </w:rPr>
              <w:t>管理目标清晰明确，组织架构科学、合理，服务队伍保证管理</w:t>
            </w:r>
          </w:p>
        </w:tc>
        <w:tc>
          <w:tcPr>
            <w:tcW w:w="992" w:type="dxa"/>
            <w:tcBorders>
              <w:top w:val="nil"/>
              <w:bottom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024" w:type="dxa"/>
            <w:tcBorders>
              <w:top w:val="nil"/>
              <w:bottom w:val="nil"/>
            </w:tcBorders>
          </w:tcPr>
          <w:p>
            <w:pPr>
              <w:pStyle w:val="14"/>
              <w:rPr>
                <w:rFonts w:ascii="Times New Roman"/>
              </w:rPr>
            </w:pPr>
          </w:p>
        </w:tc>
        <w:tc>
          <w:tcPr>
            <w:tcW w:w="6760" w:type="dxa"/>
            <w:tcBorders>
              <w:top w:val="nil"/>
              <w:bottom w:val="nil"/>
            </w:tcBorders>
          </w:tcPr>
          <w:p>
            <w:pPr>
              <w:pStyle w:val="14"/>
              <w:spacing w:before="21"/>
              <w:ind w:left="111"/>
              <w:rPr>
                <w:sz w:val="24"/>
              </w:rPr>
            </w:pPr>
            <w:r>
              <w:rPr>
                <w:sz w:val="24"/>
              </w:rPr>
              <w:t>到位；人员招聘、培训和管理计划、合理化建议的评价）投标</w:t>
            </w:r>
          </w:p>
          <w:p>
            <w:pPr>
              <w:pStyle w:val="14"/>
              <w:spacing w:before="52" w:line="306" w:lineRule="exact"/>
              <w:ind w:left="111"/>
              <w:rPr>
                <w:sz w:val="24"/>
              </w:rPr>
            </w:pPr>
            <w:r>
              <w:rPr>
                <w:sz w:val="24"/>
              </w:rPr>
              <w:t>方案与需求的非常吻合，得 10-12 分；内容齐全，针对性较强，</w:t>
            </w:r>
          </w:p>
        </w:tc>
        <w:tc>
          <w:tcPr>
            <w:tcW w:w="992" w:type="dxa"/>
            <w:tcBorders>
              <w:top w:val="nil"/>
              <w:bottom w:val="nil"/>
            </w:tcBorders>
          </w:tcPr>
          <w:p>
            <w:pPr>
              <w:pStyle w:val="14"/>
              <w:spacing w:before="199"/>
              <w:ind w:left="199"/>
              <w:rPr>
                <w:sz w:val="24"/>
              </w:rPr>
            </w:pPr>
            <w:r>
              <w:rPr>
                <w:sz w:val="24"/>
              </w:rPr>
              <w:t>12 分</w:t>
            </w: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024" w:type="dxa"/>
            <w:tcBorders>
              <w:top w:val="nil"/>
              <w:bottom w:val="nil"/>
            </w:tcBorders>
          </w:tcPr>
          <w:p>
            <w:pPr>
              <w:pStyle w:val="14"/>
              <w:rPr>
                <w:rFonts w:ascii="Times New Roman"/>
              </w:rPr>
            </w:pPr>
          </w:p>
        </w:tc>
        <w:tc>
          <w:tcPr>
            <w:tcW w:w="6760" w:type="dxa"/>
            <w:tcBorders>
              <w:top w:val="nil"/>
              <w:bottom w:val="nil"/>
            </w:tcBorders>
          </w:tcPr>
          <w:p>
            <w:pPr>
              <w:pStyle w:val="14"/>
              <w:spacing w:before="19" w:line="306" w:lineRule="exact"/>
              <w:ind w:left="111"/>
              <w:rPr>
                <w:sz w:val="24"/>
              </w:rPr>
            </w:pPr>
            <w:r>
              <w:rPr>
                <w:sz w:val="24"/>
              </w:rPr>
              <w:t>能较好满足需求得 5-9 分；方案内容前后不一致，针对性一般，</w:t>
            </w:r>
          </w:p>
        </w:tc>
        <w:tc>
          <w:tcPr>
            <w:tcW w:w="992" w:type="dxa"/>
            <w:tcBorders>
              <w:top w:val="nil"/>
              <w:bottom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1024" w:type="dxa"/>
            <w:tcBorders>
              <w:top w:val="nil"/>
              <w:bottom w:val="nil"/>
            </w:tcBorders>
          </w:tcPr>
          <w:p>
            <w:pPr>
              <w:pStyle w:val="14"/>
              <w:rPr>
                <w:rFonts w:ascii="Times New Roman"/>
              </w:rPr>
            </w:pPr>
          </w:p>
        </w:tc>
        <w:tc>
          <w:tcPr>
            <w:tcW w:w="6760" w:type="dxa"/>
            <w:tcBorders>
              <w:top w:val="nil"/>
            </w:tcBorders>
          </w:tcPr>
          <w:p>
            <w:pPr>
              <w:pStyle w:val="14"/>
              <w:spacing w:before="19"/>
              <w:ind w:left="111"/>
              <w:rPr>
                <w:sz w:val="24"/>
              </w:rPr>
            </w:pPr>
            <w:r>
              <w:rPr>
                <w:sz w:val="24"/>
              </w:rPr>
              <w:t>需求基本满足得 0-4 分。</w:t>
            </w:r>
          </w:p>
        </w:tc>
        <w:tc>
          <w:tcPr>
            <w:tcW w:w="992" w:type="dxa"/>
            <w:tcBorders>
              <w:top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024" w:type="dxa"/>
            <w:tcBorders>
              <w:top w:val="nil"/>
              <w:bottom w:val="nil"/>
            </w:tcBorders>
          </w:tcPr>
          <w:p>
            <w:pPr>
              <w:pStyle w:val="14"/>
              <w:rPr>
                <w:rFonts w:ascii="Times New Roman"/>
              </w:rPr>
            </w:pPr>
          </w:p>
        </w:tc>
        <w:tc>
          <w:tcPr>
            <w:tcW w:w="6760" w:type="dxa"/>
            <w:tcBorders>
              <w:bottom w:val="nil"/>
            </w:tcBorders>
          </w:tcPr>
          <w:p>
            <w:pPr>
              <w:pStyle w:val="14"/>
              <w:spacing w:before="4"/>
              <w:ind w:left="111"/>
              <w:rPr>
                <w:sz w:val="24"/>
              </w:rPr>
            </w:pPr>
            <w:r>
              <w:rPr>
                <w:sz w:val="24"/>
              </w:rPr>
              <w:t>外籍教师管理制度（具有明确的外籍教师管理制度，外籍教师</w:t>
            </w:r>
          </w:p>
        </w:tc>
        <w:tc>
          <w:tcPr>
            <w:tcW w:w="992" w:type="dxa"/>
            <w:tcBorders>
              <w:bottom w:val="nil"/>
            </w:tcBorders>
          </w:tcPr>
          <w:p>
            <w:pPr>
              <w:pStyle w:val="14"/>
              <w:rPr>
                <w:rFonts w:ascii="Times New Roman"/>
              </w:rPr>
            </w:pPr>
          </w:p>
        </w:tc>
        <w:tc>
          <w:tcPr>
            <w:tcW w:w="850" w:type="dxa"/>
            <w:vMerge w:val="restart"/>
          </w:tcPr>
          <w:p>
            <w:pPr>
              <w:pStyle w:val="14"/>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1024" w:type="dxa"/>
            <w:tcBorders>
              <w:top w:val="nil"/>
              <w:bottom w:val="nil"/>
            </w:tcBorders>
          </w:tcPr>
          <w:p>
            <w:pPr>
              <w:pStyle w:val="14"/>
              <w:rPr>
                <w:rFonts w:ascii="Times New Roman"/>
              </w:rPr>
            </w:pPr>
          </w:p>
        </w:tc>
        <w:tc>
          <w:tcPr>
            <w:tcW w:w="6760" w:type="dxa"/>
            <w:tcBorders>
              <w:top w:val="nil"/>
              <w:bottom w:val="nil"/>
            </w:tcBorders>
          </w:tcPr>
          <w:p>
            <w:pPr>
              <w:pStyle w:val="14"/>
              <w:spacing w:before="20"/>
              <w:ind w:left="111"/>
              <w:rPr>
                <w:sz w:val="24"/>
              </w:rPr>
            </w:pPr>
            <w:r>
              <w:rPr>
                <w:sz w:val="24"/>
              </w:rPr>
              <w:t>的责任、权利和义务与教学考核标准，与外籍教师签定的劳动</w:t>
            </w:r>
          </w:p>
        </w:tc>
        <w:tc>
          <w:tcPr>
            <w:tcW w:w="992" w:type="dxa"/>
            <w:tcBorders>
              <w:top w:val="nil"/>
              <w:bottom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1024" w:type="dxa"/>
            <w:tcBorders>
              <w:top w:val="nil"/>
              <w:bottom w:val="nil"/>
            </w:tcBorders>
          </w:tcPr>
          <w:p>
            <w:pPr>
              <w:pStyle w:val="14"/>
              <w:rPr>
                <w:rFonts w:ascii="Times New Roman"/>
              </w:rPr>
            </w:pPr>
          </w:p>
        </w:tc>
        <w:tc>
          <w:tcPr>
            <w:tcW w:w="6760" w:type="dxa"/>
            <w:tcBorders>
              <w:top w:val="nil"/>
              <w:bottom w:val="nil"/>
            </w:tcBorders>
          </w:tcPr>
          <w:p>
            <w:pPr>
              <w:pStyle w:val="14"/>
              <w:spacing w:before="20"/>
              <w:ind w:left="111"/>
              <w:rPr>
                <w:sz w:val="24"/>
              </w:rPr>
            </w:pPr>
            <w:r>
              <w:rPr>
                <w:sz w:val="24"/>
              </w:rPr>
              <w:t>合同版本，项目配备服务人员。制度内容完善，可实施性强得</w:t>
            </w:r>
          </w:p>
        </w:tc>
        <w:tc>
          <w:tcPr>
            <w:tcW w:w="992" w:type="dxa"/>
            <w:tcBorders>
              <w:top w:val="nil"/>
              <w:bottom w:val="nil"/>
            </w:tcBorders>
          </w:tcPr>
          <w:p>
            <w:pPr>
              <w:pStyle w:val="14"/>
              <w:spacing w:before="20"/>
              <w:ind w:left="199"/>
              <w:rPr>
                <w:sz w:val="24"/>
              </w:rPr>
            </w:pPr>
            <w:r>
              <w:rPr>
                <w:sz w:val="24"/>
              </w:rPr>
              <w:t>12 分</w:t>
            </w: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024" w:type="dxa"/>
            <w:tcBorders>
              <w:top w:val="nil"/>
              <w:bottom w:val="nil"/>
            </w:tcBorders>
          </w:tcPr>
          <w:p>
            <w:pPr>
              <w:pStyle w:val="14"/>
              <w:rPr>
                <w:rFonts w:ascii="Times New Roman"/>
              </w:rPr>
            </w:pPr>
          </w:p>
        </w:tc>
        <w:tc>
          <w:tcPr>
            <w:tcW w:w="6760" w:type="dxa"/>
            <w:tcBorders>
              <w:top w:val="nil"/>
              <w:bottom w:val="nil"/>
            </w:tcBorders>
          </w:tcPr>
          <w:p>
            <w:pPr>
              <w:pStyle w:val="14"/>
              <w:spacing w:before="20" w:line="306" w:lineRule="exact"/>
              <w:ind w:left="111"/>
              <w:rPr>
                <w:sz w:val="24"/>
              </w:rPr>
            </w:pPr>
            <w:r>
              <w:rPr>
                <w:sz w:val="24"/>
              </w:rPr>
              <w:t>10-12 分，制度内容较完善，可实施得 5-9 分，制度内容不够完</w:t>
            </w:r>
          </w:p>
        </w:tc>
        <w:tc>
          <w:tcPr>
            <w:tcW w:w="992" w:type="dxa"/>
            <w:tcBorders>
              <w:top w:val="nil"/>
              <w:bottom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1024" w:type="dxa"/>
            <w:tcBorders>
              <w:top w:val="nil"/>
              <w:bottom w:val="nil"/>
            </w:tcBorders>
          </w:tcPr>
          <w:p>
            <w:pPr>
              <w:pStyle w:val="14"/>
              <w:spacing w:before="81" w:line="274" w:lineRule="exact"/>
              <w:ind w:left="19"/>
              <w:jc w:val="center"/>
              <w:rPr>
                <w:sz w:val="24"/>
              </w:rPr>
            </w:pPr>
            <w:r>
              <w:rPr>
                <w:sz w:val="24"/>
              </w:rPr>
              <w:t>技</w:t>
            </w:r>
          </w:p>
        </w:tc>
        <w:tc>
          <w:tcPr>
            <w:tcW w:w="6760" w:type="dxa"/>
            <w:tcBorders>
              <w:top w:val="nil"/>
            </w:tcBorders>
          </w:tcPr>
          <w:p>
            <w:pPr>
              <w:pStyle w:val="14"/>
              <w:spacing w:before="19"/>
              <w:ind w:left="111"/>
              <w:rPr>
                <w:sz w:val="24"/>
              </w:rPr>
            </w:pPr>
            <w:r>
              <w:rPr>
                <w:sz w:val="24"/>
              </w:rPr>
              <w:t>善，但能实施 0-4 分；</w:t>
            </w:r>
          </w:p>
        </w:tc>
        <w:tc>
          <w:tcPr>
            <w:tcW w:w="992" w:type="dxa"/>
            <w:tcBorders>
              <w:top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1024" w:type="dxa"/>
            <w:tcBorders>
              <w:top w:val="nil"/>
              <w:bottom w:val="nil"/>
            </w:tcBorders>
          </w:tcPr>
          <w:p>
            <w:pPr>
              <w:pStyle w:val="14"/>
              <w:spacing w:before="37" w:line="291" w:lineRule="exact"/>
              <w:ind w:left="19"/>
              <w:jc w:val="center"/>
              <w:rPr>
                <w:sz w:val="24"/>
              </w:rPr>
            </w:pPr>
            <w:r>
              <w:rPr>
                <w:sz w:val="24"/>
              </w:rPr>
              <w:t>术</w:t>
            </w:r>
          </w:p>
        </w:tc>
        <w:tc>
          <w:tcPr>
            <w:tcW w:w="6760" w:type="dxa"/>
            <w:tcBorders>
              <w:bottom w:val="nil"/>
            </w:tcBorders>
          </w:tcPr>
          <w:p>
            <w:pPr>
              <w:pStyle w:val="14"/>
              <w:spacing w:before="3"/>
              <w:ind w:left="111"/>
              <w:rPr>
                <w:sz w:val="24"/>
              </w:rPr>
            </w:pPr>
            <w:r>
              <w:rPr>
                <w:sz w:val="24"/>
              </w:rPr>
              <w:t>后勤保障服务计划（对本项目人员、服务情况或紧急情况所做</w:t>
            </w:r>
          </w:p>
        </w:tc>
        <w:tc>
          <w:tcPr>
            <w:tcW w:w="992" w:type="dxa"/>
            <w:tcBorders>
              <w:bottom w:val="nil"/>
            </w:tcBorders>
          </w:tcPr>
          <w:p>
            <w:pPr>
              <w:pStyle w:val="14"/>
              <w:rPr>
                <w:rFonts w:ascii="Times New Roman"/>
              </w:rPr>
            </w:pPr>
          </w:p>
        </w:tc>
        <w:tc>
          <w:tcPr>
            <w:tcW w:w="850" w:type="dxa"/>
            <w:vMerge w:val="restart"/>
          </w:tcPr>
          <w:p>
            <w:pPr>
              <w:pStyle w:val="14"/>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1024" w:type="dxa"/>
            <w:tcBorders>
              <w:top w:val="nil"/>
              <w:bottom w:val="nil"/>
            </w:tcBorders>
          </w:tcPr>
          <w:p>
            <w:pPr>
              <w:pStyle w:val="14"/>
              <w:spacing w:before="20"/>
              <w:ind w:left="19"/>
              <w:jc w:val="center"/>
              <w:rPr>
                <w:sz w:val="24"/>
              </w:rPr>
            </w:pPr>
            <w:r>
              <w:rPr>
                <w:sz w:val="24"/>
              </w:rPr>
              <w:t>分</w:t>
            </w:r>
          </w:p>
          <w:p>
            <w:pPr>
              <w:pStyle w:val="14"/>
              <w:spacing w:before="35" w:line="300" w:lineRule="exact"/>
              <w:ind w:left="196" w:right="177"/>
              <w:jc w:val="center"/>
              <w:rPr>
                <w:sz w:val="24"/>
              </w:rPr>
            </w:pPr>
            <w:r>
              <w:rPr>
                <w:sz w:val="24"/>
              </w:rPr>
              <w:t>（50</w:t>
            </w:r>
          </w:p>
        </w:tc>
        <w:tc>
          <w:tcPr>
            <w:tcW w:w="6760" w:type="dxa"/>
            <w:tcBorders>
              <w:top w:val="nil"/>
              <w:bottom w:val="nil"/>
            </w:tcBorders>
          </w:tcPr>
          <w:p>
            <w:pPr>
              <w:pStyle w:val="14"/>
              <w:spacing w:before="3"/>
              <w:ind w:left="111"/>
              <w:rPr>
                <w:sz w:val="24"/>
              </w:rPr>
            </w:pPr>
            <w:r>
              <w:rPr>
                <w:sz w:val="24"/>
              </w:rPr>
              <w:t>出的保障服务方案），方案内容完善、可实施性强得 4-5 分，</w:t>
            </w:r>
          </w:p>
          <w:p>
            <w:pPr>
              <w:pStyle w:val="14"/>
              <w:spacing w:before="50" w:line="303" w:lineRule="exact"/>
              <w:ind w:left="111"/>
              <w:rPr>
                <w:sz w:val="24"/>
              </w:rPr>
            </w:pPr>
            <w:r>
              <w:rPr>
                <w:sz w:val="24"/>
              </w:rPr>
              <w:t>方案内容较完善可试用得 2-3 分，方案内容针对性不强得 0-1</w:t>
            </w:r>
          </w:p>
        </w:tc>
        <w:tc>
          <w:tcPr>
            <w:tcW w:w="992" w:type="dxa"/>
            <w:tcBorders>
              <w:top w:val="nil"/>
              <w:bottom w:val="nil"/>
            </w:tcBorders>
          </w:tcPr>
          <w:p>
            <w:pPr>
              <w:pStyle w:val="14"/>
              <w:spacing w:before="181"/>
              <w:ind w:left="259"/>
              <w:rPr>
                <w:sz w:val="24"/>
              </w:rPr>
            </w:pPr>
            <w:r>
              <w:rPr>
                <w:sz w:val="24"/>
              </w:rPr>
              <w:t>5 分</w:t>
            </w: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024" w:type="dxa"/>
            <w:tcBorders>
              <w:top w:val="nil"/>
              <w:bottom w:val="nil"/>
            </w:tcBorders>
          </w:tcPr>
          <w:p>
            <w:pPr>
              <w:pStyle w:val="14"/>
              <w:spacing w:before="13"/>
              <w:ind w:left="196" w:right="177"/>
              <w:jc w:val="center"/>
              <w:rPr>
                <w:sz w:val="24"/>
              </w:rPr>
            </w:pPr>
            <w:r>
              <w:rPr>
                <w:sz w:val="24"/>
              </w:rPr>
              <w:t>分）</w:t>
            </w:r>
          </w:p>
        </w:tc>
        <w:tc>
          <w:tcPr>
            <w:tcW w:w="6760" w:type="dxa"/>
            <w:tcBorders>
              <w:top w:val="nil"/>
            </w:tcBorders>
          </w:tcPr>
          <w:p>
            <w:pPr>
              <w:pStyle w:val="14"/>
              <w:spacing w:before="17"/>
              <w:ind w:left="111"/>
              <w:rPr>
                <w:sz w:val="24"/>
              </w:rPr>
            </w:pPr>
            <w:r>
              <w:rPr>
                <w:sz w:val="24"/>
              </w:rPr>
              <w:t>分；</w:t>
            </w:r>
          </w:p>
        </w:tc>
        <w:tc>
          <w:tcPr>
            <w:tcW w:w="992" w:type="dxa"/>
            <w:tcBorders>
              <w:top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24" w:type="dxa"/>
            <w:tcBorders>
              <w:top w:val="nil"/>
              <w:bottom w:val="nil"/>
            </w:tcBorders>
          </w:tcPr>
          <w:p>
            <w:pPr>
              <w:pStyle w:val="14"/>
              <w:rPr>
                <w:rFonts w:ascii="Times New Roman"/>
              </w:rPr>
            </w:pPr>
          </w:p>
        </w:tc>
        <w:tc>
          <w:tcPr>
            <w:tcW w:w="6760" w:type="dxa"/>
            <w:tcBorders>
              <w:bottom w:val="nil"/>
            </w:tcBorders>
          </w:tcPr>
          <w:p>
            <w:pPr>
              <w:pStyle w:val="14"/>
              <w:spacing w:before="2"/>
              <w:ind w:left="111"/>
              <w:rPr>
                <w:sz w:val="24"/>
              </w:rPr>
            </w:pPr>
            <w:r>
              <w:rPr>
                <w:sz w:val="24"/>
              </w:rPr>
              <w:t>外籍教师培训及管理方案（外籍教师培训及管理措施针对外籍</w:t>
            </w:r>
          </w:p>
        </w:tc>
        <w:tc>
          <w:tcPr>
            <w:tcW w:w="992" w:type="dxa"/>
            <w:tcBorders>
              <w:bottom w:val="nil"/>
            </w:tcBorders>
          </w:tcPr>
          <w:p>
            <w:pPr>
              <w:pStyle w:val="14"/>
              <w:rPr>
                <w:rFonts w:ascii="Times New Roman"/>
              </w:rPr>
            </w:pPr>
          </w:p>
        </w:tc>
        <w:tc>
          <w:tcPr>
            <w:tcW w:w="850" w:type="dxa"/>
            <w:vMerge w:val="restart"/>
          </w:tcPr>
          <w:p>
            <w:pPr>
              <w:pStyle w:val="14"/>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6" w:hRule="atLeast"/>
        </w:trPr>
        <w:tc>
          <w:tcPr>
            <w:tcW w:w="1024" w:type="dxa"/>
            <w:tcBorders>
              <w:top w:val="nil"/>
              <w:bottom w:val="nil"/>
            </w:tcBorders>
          </w:tcPr>
          <w:p>
            <w:pPr>
              <w:pStyle w:val="14"/>
              <w:rPr>
                <w:rFonts w:ascii="Times New Roman"/>
              </w:rPr>
            </w:pPr>
          </w:p>
        </w:tc>
        <w:tc>
          <w:tcPr>
            <w:tcW w:w="6760" w:type="dxa"/>
            <w:tcBorders>
              <w:top w:val="nil"/>
              <w:bottom w:val="nil"/>
            </w:tcBorders>
          </w:tcPr>
          <w:p>
            <w:pPr>
              <w:pStyle w:val="14"/>
              <w:spacing w:before="20"/>
              <w:ind w:left="111"/>
              <w:rPr>
                <w:sz w:val="24"/>
              </w:rPr>
            </w:pPr>
            <w:r>
              <w:rPr>
                <w:sz w:val="24"/>
              </w:rPr>
              <w:t>教师管理有可操作性。培训及管理有效落实得 10-12 分，较好</w:t>
            </w:r>
          </w:p>
          <w:p>
            <w:pPr>
              <w:pStyle w:val="14"/>
              <w:spacing w:before="52" w:line="306" w:lineRule="exact"/>
              <w:ind w:left="111"/>
              <w:rPr>
                <w:sz w:val="24"/>
              </w:rPr>
            </w:pPr>
            <w:r>
              <w:rPr>
                <w:sz w:val="24"/>
              </w:rPr>
              <w:t>落实得 5-9 分，落实情况一般得 0-4，未落实不得分（需提供佐</w:t>
            </w:r>
          </w:p>
        </w:tc>
        <w:tc>
          <w:tcPr>
            <w:tcW w:w="992" w:type="dxa"/>
            <w:tcBorders>
              <w:top w:val="nil"/>
              <w:bottom w:val="nil"/>
            </w:tcBorders>
          </w:tcPr>
          <w:p>
            <w:pPr>
              <w:pStyle w:val="14"/>
              <w:spacing w:before="200"/>
              <w:ind w:left="199"/>
              <w:rPr>
                <w:sz w:val="24"/>
              </w:rPr>
            </w:pPr>
            <w:r>
              <w:rPr>
                <w:sz w:val="24"/>
              </w:rPr>
              <w:t>12 分</w:t>
            </w: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1024" w:type="dxa"/>
            <w:tcBorders>
              <w:top w:val="nil"/>
              <w:bottom w:val="nil"/>
            </w:tcBorders>
          </w:tcPr>
          <w:p>
            <w:pPr>
              <w:pStyle w:val="14"/>
              <w:rPr>
                <w:rFonts w:ascii="Times New Roman"/>
              </w:rPr>
            </w:pPr>
          </w:p>
        </w:tc>
        <w:tc>
          <w:tcPr>
            <w:tcW w:w="6760" w:type="dxa"/>
            <w:tcBorders>
              <w:top w:val="nil"/>
            </w:tcBorders>
          </w:tcPr>
          <w:p>
            <w:pPr>
              <w:pStyle w:val="14"/>
              <w:spacing w:before="19"/>
              <w:ind w:left="111"/>
              <w:rPr>
                <w:sz w:val="24"/>
              </w:rPr>
            </w:pPr>
            <w:r>
              <w:rPr>
                <w:sz w:val="24"/>
              </w:rPr>
              <w:t>证材料，采购单位盖章为准）。</w:t>
            </w:r>
          </w:p>
        </w:tc>
        <w:tc>
          <w:tcPr>
            <w:tcW w:w="992" w:type="dxa"/>
            <w:tcBorders>
              <w:top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024" w:type="dxa"/>
            <w:tcBorders>
              <w:top w:val="nil"/>
              <w:bottom w:val="nil"/>
            </w:tcBorders>
          </w:tcPr>
          <w:p>
            <w:pPr>
              <w:pStyle w:val="14"/>
              <w:rPr>
                <w:rFonts w:ascii="Times New Roman"/>
              </w:rPr>
            </w:pPr>
          </w:p>
        </w:tc>
        <w:tc>
          <w:tcPr>
            <w:tcW w:w="6760" w:type="dxa"/>
            <w:tcBorders>
              <w:bottom w:val="nil"/>
            </w:tcBorders>
          </w:tcPr>
          <w:p>
            <w:pPr>
              <w:pStyle w:val="14"/>
              <w:spacing w:before="4" w:line="306" w:lineRule="exact"/>
              <w:ind w:left="111"/>
              <w:rPr>
                <w:sz w:val="24"/>
              </w:rPr>
            </w:pPr>
            <w:r>
              <w:rPr>
                <w:sz w:val="24"/>
              </w:rPr>
              <w:t>服务质量保证措施（是否详细说明服务质量、外籍教师工资和</w:t>
            </w:r>
          </w:p>
        </w:tc>
        <w:tc>
          <w:tcPr>
            <w:tcW w:w="992" w:type="dxa"/>
            <w:tcBorders>
              <w:bottom w:val="nil"/>
            </w:tcBorders>
          </w:tcPr>
          <w:p>
            <w:pPr>
              <w:pStyle w:val="14"/>
              <w:rPr>
                <w:rFonts w:ascii="Times New Roman"/>
              </w:rPr>
            </w:pPr>
          </w:p>
        </w:tc>
        <w:tc>
          <w:tcPr>
            <w:tcW w:w="850" w:type="dxa"/>
            <w:vMerge w:val="restart"/>
          </w:tcPr>
          <w:p>
            <w:pPr>
              <w:pStyle w:val="14"/>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024" w:type="dxa"/>
            <w:tcBorders>
              <w:top w:val="nil"/>
              <w:bottom w:val="nil"/>
            </w:tcBorders>
          </w:tcPr>
          <w:p>
            <w:pPr>
              <w:pStyle w:val="14"/>
              <w:rPr>
                <w:rFonts w:ascii="Times New Roman"/>
              </w:rPr>
            </w:pPr>
          </w:p>
        </w:tc>
        <w:tc>
          <w:tcPr>
            <w:tcW w:w="6760" w:type="dxa"/>
            <w:tcBorders>
              <w:top w:val="nil"/>
              <w:bottom w:val="nil"/>
            </w:tcBorders>
          </w:tcPr>
          <w:p>
            <w:pPr>
              <w:pStyle w:val="14"/>
              <w:spacing w:before="19"/>
              <w:ind w:left="111"/>
              <w:rPr>
                <w:sz w:val="24"/>
              </w:rPr>
            </w:pPr>
            <w:r>
              <w:rPr>
                <w:sz w:val="24"/>
              </w:rPr>
              <w:t>福利保证承诺，是否具有保证项目进度的有效措施以及是否提</w:t>
            </w:r>
          </w:p>
        </w:tc>
        <w:tc>
          <w:tcPr>
            <w:tcW w:w="992" w:type="dxa"/>
            <w:tcBorders>
              <w:top w:val="nil"/>
              <w:bottom w:val="nil"/>
            </w:tcBorders>
          </w:tcPr>
          <w:p>
            <w:pPr>
              <w:pStyle w:val="14"/>
              <w:spacing w:before="19"/>
              <w:ind w:left="259"/>
              <w:rPr>
                <w:sz w:val="24"/>
              </w:rPr>
            </w:pPr>
            <w:r>
              <w:rPr>
                <w:sz w:val="24"/>
              </w:rPr>
              <w:t>5 分</w:t>
            </w: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1024" w:type="dxa"/>
            <w:tcBorders>
              <w:top w:val="nil"/>
              <w:bottom w:val="nil"/>
            </w:tcBorders>
          </w:tcPr>
          <w:p>
            <w:pPr>
              <w:pStyle w:val="14"/>
              <w:rPr>
                <w:rFonts w:ascii="Times New Roman"/>
              </w:rPr>
            </w:pPr>
          </w:p>
        </w:tc>
        <w:tc>
          <w:tcPr>
            <w:tcW w:w="6760" w:type="dxa"/>
            <w:tcBorders>
              <w:top w:val="nil"/>
            </w:tcBorders>
          </w:tcPr>
          <w:p>
            <w:pPr>
              <w:pStyle w:val="14"/>
              <w:spacing w:before="20"/>
              <w:ind w:left="111"/>
              <w:rPr>
                <w:sz w:val="24"/>
              </w:rPr>
            </w:pPr>
            <w:r>
              <w:rPr>
                <w:sz w:val="24"/>
              </w:rPr>
              <w:t>供项目实施过程中突发事件处理机制与预案等。0-5 分）</w:t>
            </w:r>
          </w:p>
        </w:tc>
        <w:tc>
          <w:tcPr>
            <w:tcW w:w="992" w:type="dxa"/>
            <w:tcBorders>
              <w:top w:val="nil"/>
            </w:tcBorders>
          </w:tcPr>
          <w:p>
            <w:pPr>
              <w:pStyle w:val="14"/>
              <w:rPr>
                <w:rFonts w:ascii="Times New Roman"/>
              </w:rPr>
            </w:pPr>
          </w:p>
        </w:tc>
        <w:tc>
          <w:tcPr>
            <w:tcW w:w="8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1024" w:type="dxa"/>
            <w:tcBorders>
              <w:top w:val="nil"/>
            </w:tcBorders>
          </w:tcPr>
          <w:p>
            <w:pPr>
              <w:pStyle w:val="14"/>
              <w:rPr>
                <w:rFonts w:ascii="Times New Roman"/>
              </w:rPr>
            </w:pPr>
          </w:p>
        </w:tc>
        <w:tc>
          <w:tcPr>
            <w:tcW w:w="6760" w:type="dxa"/>
          </w:tcPr>
          <w:p>
            <w:pPr>
              <w:pStyle w:val="14"/>
              <w:spacing w:before="48"/>
              <w:ind w:left="111"/>
              <w:rPr>
                <w:sz w:val="24"/>
              </w:rPr>
            </w:pPr>
            <w:r>
              <w:rPr>
                <w:sz w:val="24"/>
              </w:rPr>
              <w:t>投标文件制作质量</w:t>
            </w:r>
          </w:p>
          <w:p>
            <w:pPr>
              <w:pStyle w:val="14"/>
              <w:spacing w:before="5" w:line="244" w:lineRule="auto"/>
              <w:ind w:left="111" w:right="156"/>
              <w:rPr>
                <w:sz w:val="24"/>
              </w:rPr>
            </w:pPr>
            <w:r>
              <w:rPr>
                <w:sz w:val="24"/>
              </w:rPr>
              <w:t>（根据投标文件编制有序、内容规范、字句清晰、表述完整等情况综合评定对比打分）</w:t>
            </w:r>
          </w:p>
        </w:tc>
        <w:tc>
          <w:tcPr>
            <w:tcW w:w="992" w:type="dxa"/>
          </w:tcPr>
          <w:p>
            <w:pPr>
              <w:pStyle w:val="14"/>
              <w:spacing w:before="2"/>
              <w:rPr>
                <w:sz w:val="30"/>
              </w:rPr>
            </w:pPr>
          </w:p>
          <w:p>
            <w:pPr>
              <w:pStyle w:val="14"/>
              <w:ind w:right="120"/>
              <w:jc w:val="right"/>
              <w:rPr>
                <w:sz w:val="24"/>
              </w:rPr>
            </w:pPr>
            <w:r>
              <w:rPr>
                <w:sz w:val="24"/>
              </w:rPr>
              <w:t>1-4 分</w:t>
            </w:r>
          </w:p>
        </w:tc>
        <w:tc>
          <w:tcPr>
            <w:tcW w:w="850" w:type="dxa"/>
          </w:tcPr>
          <w:p>
            <w:pPr>
              <w:pStyle w:val="14"/>
              <w:rPr>
                <w:rFonts w:ascii="Times New Roman"/>
              </w:rPr>
            </w:pPr>
          </w:p>
        </w:tc>
      </w:tr>
    </w:tbl>
    <w:p>
      <w:pPr>
        <w:pStyle w:val="8"/>
        <w:spacing w:before="5"/>
        <w:ind w:left="438"/>
      </w:pPr>
      <w:r>
        <w:rPr>
          <w:rFonts w:hint="eastAsia"/>
        </w:rPr>
        <w:t>34.2</w:t>
      </w:r>
      <w:r>
        <w:t>价格部分评分方法（20 分）：</w:t>
      </w:r>
    </w:p>
    <w:p>
      <w:pPr>
        <w:pStyle w:val="8"/>
        <w:spacing w:before="11"/>
        <w:rPr>
          <w:sz w:val="9"/>
        </w:rPr>
      </w:pPr>
    </w:p>
    <w:tbl>
      <w:tblPr>
        <w:tblStyle w:val="11"/>
        <w:tblW w:w="9626" w:type="dxa"/>
        <w:tblInd w:w="2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1"/>
        <w:gridCol w:w="72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331" w:type="dxa"/>
          </w:tcPr>
          <w:p>
            <w:pPr>
              <w:pStyle w:val="14"/>
              <w:spacing w:before="1"/>
              <w:ind w:left="369" w:right="351"/>
              <w:jc w:val="center"/>
              <w:rPr>
                <w:sz w:val="24"/>
              </w:rPr>
            </w:pPr>
            <w:r>
              <w:rPr>
                <w:sz w:val="24"/>
              </w:rPr>
              <w:t>价格权值</w:t>
            </w:r>
          </w:p>
        </w:tc>
        <w:tc>
          <w:tcPr>
            <w:tcW w:w="7295" w:type="dxa"/>
          </w:tcPr>
          <w:p>
            <w:pPr>
              <w:pStyle w:val="14"/>
              <w:spacing w:before="1"/>
              <w:ind w:left="3150" w:right="3134"/>
              <w:jc w:val="center"/>
              <w:rPr>
                <w:sz w:val="24"/>
              </w:rPr>
            </w:pPr>
            <w:r>
              <w:rPr>
                <w:sz w:val="24"/>
              </w:rPr>
              <w:t>计算方法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2" w:hRule="atLeast"/>
        </w:trPr>
        <w:tc>
          <w:tcPr>
            <w:tcW w:w="2331" w:type="dxa"/>
          </w:tcPr>
          <w:p>
            <w:pPr>
              <w:pStyle w:val="14"/>
              <w:rPr>
                <w:sz w:val="26"/>
              </w:rPr>
            </w:pPr>
          </w:p>
          <w:p>
            <w:pPr>
              <w:pStyle w:val="14"/>
              <w:ind w:left="369" w:right="351"/>
              <w:jc w:val="center"/>
              <w:rPr>
                <w:sz w:val="24"/>
              </w:rPr>
            </w:pPr>
            <w:r>
              <w:rPr>
                <w:sz w:val="24"/>
              </w:rPr>
              <w:t>价格权值=0.20</w:t>
            </w:r>
          </w:p>
        </w:tc>
        <w:tc>
          <w:tcPr>
            <w:tcW w:w="7295" w:type="dxa"/>
          </w:tcPr>
          <w:p>
            <w:pPr>
              <w:pStyle w:val="14"/>
              <w:spacing w:before="17"/>
              <w:ind w:left="112"/>
              <w:rPr>
                <w:sz w:val="24"/>
              </w:rPr>
            </w:pPr>
            <w:r>
              <w:rPr>
                <w:sz w:val="24"/>
              </w:rPr>
              <w:t>最低有效投标价格价作为评标基准价，</w:t>
            </w:r>
          </w:p>
          <w:p>
            <w:pPr>
              <w:pStyle w:val="14"/>
              <w:spacing w:before="4" w:line="310" w:lineRule="atLeast"/>
              <w:ind w:left="112" w:right="90"/>
              <w:rPr>
                <w:sz w:val="24"/>
              </w:rPr>
            </w:pPr>
            <w:r>
              <w:rPr>
                <w:sz w:val="24"/>
              </w:rPr>
              <w:t>投标报价得分=(评标基准价／投标报价)×价格权值×100 （计算得分保留小数点后 2 位）</w:t>
            </w:r>
          </w:p>
        </w:tc>
      </w:tr>
    </w:tbl>
    <w:p>
      <w:pPr>
        <w:pStyle w:val="6"/>
        <w:tabs>
          <w:tab w:val="left" w:pos="1041"/>
        </w:tabs>
        <w:spacing w:before="4"/>
        <w:ind w:left="1040"/>
      </w:pPr>
      <w:bookmarkStart w:id="71" w:name="35.其他需说明事项：无"/>
      <w:bookmarkEnd w:id="71"/>
      <w:r>
        <w:rPr>
          <w:rFonts w:hint="eastAsia"/>
        </w:rPr>
        <w:t>35</w:t>
      </w:r>
      <w:r>
        <w:t>其他需说明事项：无</w:t>
      </w:r>
    </w:p>
    <w:p>
      <w:pPr>
        <w:pStyle w:val="6"/>
        <w:tabs>
          <w:tab w:val="left" w:pos="1041"/>
        </w:tabs>
        <w:spacing w:before="4"/>
        <w:ind w:left="1040"/>
      </w:pPr>
      <w:r>
        <w:rPr>
          <w:rFonts w:hint="eastAsia"/>
        </w:rPr>
        <w:t>36</w:t>
      </w:r>
      <w:r>
        <w:t>解释权</w:t>
      </w:r>
    </w:p>
    <w:p>
      <w:pPr>
        <w:spacing w:line="364" w:lineRule="auto"/>
        <w:ind w:firstLine="480" w:firstLineChars="200"/>
        <w:sectPr>
          <w:pgSz w:w="11910" w:h="16840"/>
          <w:pgMar w:top="1260" w:right="420" w:bottom="1220" w:left="980" w:header="887" w:footer="1039" w:gutter="0"/>
          <w:cols w:space="720" w:num="1"/>
        </w:sectPr>
      </w:pPr>
      <w:r>
        <w:rPr>
          <w:rFonts w:hint="eastAsia"/>
          <w:sz w:val="24"/>
          <w:szCs w:val="24"/>
        </w:rPr>
        <w:t xml:space="preserve">  专用条款与通用条款有矛盾之处，以专用条款为准。凡涉及本次招标文件的解释权属于采购人与招标组织机构。</w:t>
      </w:r>
      <w:r>
        <w:rPr>
          <w:sz w:val="24"/>
          <w:szCs w:val="24"/>
        </w:rPr>
        <w:t xml:space="preserve">  </w:t>
      </w:r>
    </w:p>
    <w:p>
      <w:pPr>
        <w:pStyle w:val="8"/>
        <w:rPr>
          <w:sz w:val="25"/>
        </w:rPr>
      </w:pPr>
    </w:p>
    <w:p>
      <w:pPr>
        <w:pStyle w:val="2"/>
        <w:tabs>
          <w:tab w:val="left" w:pos="1605"/>
        </w:tabs>
        <w:spacing w:before="54"/>
        <w:ind w:right="425"/>
        <w:jc w:val="center"/>
        <w:rPr>
          <w:rFonts w:ascii="黑体" w:eastAsia="黑体"/>
        </w:rPr>
      </w:pPr>
      <w:bookmarkStart w:id="72" w:name="第三部分交易需求"/>
      <w:bookmarkEnd w:id="72"/>
      <w:r>
        <w:rPr>
          <w:rFonts w:hint="eastAsia" w:ascii="黑体" w:eastAsia="黑体"/>
        </w:rPr>
        <w:t>第三部分</w:t>
      </w:r>
      <w:r>
        <w:rPr>
          <w:rFonts w:hint="eastAsia" w:ascii="黑体" w:eastAsia="黑体"/>
        </w:rPr>
        <w:tab/>
      </w:r>
      <w:r>
        <w:rPr>
          <w:rFonts w:hint="eastAsia" w:ascii="黑体" w:eastAsia="黑体"/>
        </w:rPr>
        <w:t>采购需求</w:t>
      </w:r>
    </w:p>
    <w:p>
      <w:pPr>
        <w:pStyle w:val="8"/>
        <w:spacing w:before="4"/>
        <w:rPr>
          <w:rFonts w:ascii="黑体"/>
          <w:b/>
          <w:sz w:val="16"/>
        </w:rPr>
      </w:pPr>
    </w:p>
    <w:p>
      <w:pPr>
        <w:pStyle w:val="6"/>
        <w:spacing w:before="66"/>
        <w:ind w:left="0" w:right="415"/>
        <w:jc w:val="center"/>
      </w:pPr>
      <w:bookmarkStart w:id="73" w:name="一、交易一览表"/>
      <w:bookmarkEnd w:id="73"/>
      <w:r>
        <w:t>一、</w:t>
      </w:r>
      <w:r>
        <w:rPr>
          <w:rFonts w:hint="eastAsia"/>
        </w:rPr>
        <w:t>采购</w:t>
      </w:r>
      <w:r>
        <w:t>一览表</w:t>
      </w:r>
    </w:p>
    <w:p>
      <w:pPr>
        <w:pStyle w:val="8"/>
        <w:spacing w:before="166"/>
        <w:ind w:left="678"/>
      </w:pPr>
      <w:r>
        <w:t>标项一：</w:t>
      </w:r>
    </w:p>
    <w:p>
      <w:pPr>
        <w:pStyle w:val="8"/>
        <w:spacing w:before="7"/>
        <w:rPr>
          <w:sz w:val="12"/>
        </w:rPr>
      </w:pPr>
    </w:p>
    <w:tbl>
      <w:tblPr>
        <w:tblStyle w:val="11"/>
        <w:tblW w:w="8804" w:type="dxa"/>
        <w:tblInd w:w="4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1"/>
        <w:gridCol w:w="3443"/>
        <w:gridCol w:w="2191"/>
        <w:gridCol w:w="784"/>
        <w:gridCol w:w="811"/>
        <w:gridCol w:w="9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71" w:type="dxa"/>
          </w:tcPr>
          <w:p>
            <w:pPr>
              <w:pStyle w:val="14"/>
              <w:spacing w:before="25" w:line="300" w:lineRule="exact"/>
              <w:ind w:left="78" w:right="62"/>
              <w:jc w:val="center"/>
              <w:rPr>
                <w:sz w:val="24"/>
              </w:rPr>
            </w:pPr>
            <w:r>
              <w:rPr>
                <w:sz w:val="24"/>
              </w:rPr>
              <w:t>序号</w:t>
            </w:r>
          </w:p>
        </w:tc>
        <w:tc>
          <w:tcPr>
            <w:tcW w:w="3443" w:type="dxa"/>
          </w:tcPr>
          <w:p>
            <w:pPr>
              <w:pStyle w:val="14"/>
              <w:spacing w:before="25" w:line="300" w:lineRule="exact"/>
              <w:ind w:left="24" w:right="8"/>
              <w:jc w:val="center"/>
              <w:rPr>
                <w:sz w:val="24"/>
              </w:rPr>
            </w:pPr>
            <w:r>
              <w:rPr>
                <w:sz w:val="24"/>
              </w:rPr>
              <w:t>名称</w:t>
            </w:r>
          </w:p>
        </w:tc>
        <w:tc>
          <w:tcPr>
            <w:tcW w:w="2191" w:type="dxa"/>
          </w:tcPr>
          <w:p>
            <w:pPr>
              <w:pStyle w:val="14"/>
              <w:spacing w:before="25" w:line="300" w:lineRule="exact"/>
              <w:ind w:left="239" w:right="222"/>
              <w:jc w:val="center"/>
              <w:rPr>
                <w:sz w:val="24"/>
              </w:rPr>
            </w:pPr>
            <w:r>
              <w:rPr>
                <w:sz w:val="24"/>
              </w:rPr>
              <w:t>规格型号与参数</w:t>
            </w:r>
          </w:p>
        </w:tc>
        <w:tc>
          <w:tcPr>
            <w:tcW w:w="784" w:type="dxa"/>
          </w:tcPr>
          <w:p>
            <w:pPr>
              <w:pStyle w:val="14"/>
              <w:spacing w:before="25" w:line="300" w:lineRule="exact"/>
              <w:ind w:left="136" w:right="118"/>
              <w:jc w:val="center"/>
              <w:rPr>
                <w:sz w:val="24"/>
              </w:rPr>
            </w:pPr>
            <w:r>
              <w:rPr>
                <w:sz w:val="24"/>
              </w:rPr>
              <w:t>单位</w:t>
            </w:r>
          </w:p>
        </w:tc>
        <w:tc>
          <w:tcPr>
            <w:tcW w:w="811" w:type="dxa"/>
          </w:tcPr>
          <w:p>
            <w:pPr>
              <w:pStyle w:val="14"/>
              <w:spacing w:before="25" w:line="300" w:lineRule="exact"/>
              <w:ind w:left="149" w:right="132"/>
              <w:jc w:val="center"/>
              <w:rPr>
                <w:sz w:val="24"/>
              </w:rPr>
            </w:pPr>
            <w:r>
              <w:rPr>
                <w:sz w:val="24"/>
              </w:rPr>
              <w:t>数量</w:t>
            </w:r>
          </w:p>
        </w:tc>
        <w:tc>
          <w:tcPr>
            <w:tcW w:w="904" w:type="dxa"/>
          </w:tcPr>
          <w:p>
            <w:pPr>
              <w:pStyle w:val="14"/>
              <w:spacing w:before="25" w:line="300" w:lineRule="exact"/>
              <w:ind w:left="217"/>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671" w:type="dxa"/>
          </w:tcPr>
          <w:p>
            <w:pPr>
              <w:pStyle w:val="14"/>
              <w:spacing w:before="174"/>
              <w:ind w:left="16"/>
              <w:jc w:val="center"/>
              <w:rPr>
                <w:sz w:val="24"/>
              </w:rPr>
            </w:pPr>
            <w:r>
              <w:rPr>
                <w:sz w:val="24"/>
              </w:rPr>
              <w:t>1</w:t>
            </w:r>
          </w:p>
        </w:tc>
        <w:tc>
          <w:tcPr>
            <w:tcW w:w="3443" w:type="dxa"/>
          </w:tcPr>
          <w:p>
            <w:pPr>
              <w:pStyle w:val="14"/>
              <w:spacing w:before="18"/>
              <w:ind w:left="24" w:right="8"/>
              <w:jc w:val="center"/>
              <w:rPr>
                <w:sz w:val="24"/>
              </w:rPr>
            </w:pPr>
            <w:r>
              <w:rPr>
                <w:sz w:val="24"/>
              </w:rPr>
              <w:t>萧山区</w:t>
            </w:r>
            <w:r>
              <w:rPr>
                <w:rFonts w:hint="eastAsia"/>
                <w:sz w:val="24"/>
                <w:lang w:val="en-US"/>
              </w:rPr>
              <w:t>北干</w:t>
            </w:r>
            <w:r>
              <w:rPr>
                <w:sz w:val="24"/>
              </w:rPr>
              <w:t>初级中学外籍教师派</w:t>
            </w:r>
          </w:p>
          <w:p>
            <w:pPr>
              <w:pStyle w:val="14"/>
              <w:spacing w:before="2" w:line="290" w:lineRule="exact"/>
              <w:ind w:left="24" w:right="245"/>
              <w:jc w:val="center"/>
              <w:rPr>
                <w:rFonts w:hint="eastAsia" w:eastAsia="宋体"/>
                <w:sz w:val="24"/>
                <w:lang w:eastAsia="zh-CN"/>
              </w:rPr>
            </w:pPr>
            <w:r>
              <w:rPr>
                <w:sz w:val="24"/>
              </w:rPr>
              <w:t>遣服务</w:t>
            </w:r>
            <w:r>
              <w:rPr>
                <w:rFonts w:hint="eastAsia"/>
                <w:sz w:val="24"/>
                <w:lang w:eastAsia="zh-CN"/>
              </w:rPr>
              <w:t>（二次）</w:t>
            </w:r>
          </w:p>
        </w:tc>
        <w:tc>
          <w:tcPr>
            <w:tcW w:w="2191" w:type="dxa"/>
          </w:tcPr>
          <w:p>
            <w:pPr>
              <w:pStyle w:val="14"/>
              <w:spacing w:before="174"/>
              <w:ind w:left="239" w:right="222"/>
              <w:jc w:val="center"/>
              <w:rPr>
                <w:sz w:val="24"/>
              </w:rPr>
            </w:pPr>
            <w:r>
              <w:rPr>
                <w:sz w:val="24"/>
              </w:rPr>
              <w:t>详见</w:t>
            </w:r>
            <w:r>
              <w:rPr>
                <w:rFonts w:hint="eastAsia"/>
                <w:sz w:val="24"/>
              </w:rPr>
              <w:t>采购</w:t>
            </w:r>
            <w:r>
              <w:rPr>
                <w:sz w:val="24"/>
              </w:rPr>
              <w:t>需求</w:t>
            </w:r>
          </w:p>
        </w:tc>
        <w:tc>
          <w:tcPr>
            <w:tcW w:w="784" w:type="dxa"/>
          </w:tcPr>
          <w:p>
            <w:pPr>
              <w:pStyle w:val="14"/>
              <w:spacing w:before="174"/>
              <w:ind w:left="18"/>
              <w:jc w:val="center"/>
              <w:rPr>
                <w:sz w:val="24"/>
              </w:rPr>
            </w:pPr>
            <w:r>
              <w:rPr>
                <w:sz w:val="24"/>
              </w:rPr>
              <w:t>人</w:t>
            </w:r>
          </w:p>
        </w:tc>
        <w:tc>
          <w:tcPr>
            <w:tcW w:w="811" w:type="dxa"/>
          </w:tcPr>
          <w:p>
            <w:pPr>
              <w:pStyle w:val="14"/>
              <w:spacing w:before="174"/>
              <w:ind w:left="17"/>
              <w:jc w:val="center"/>
              <w:rPr>
                <w:sz w:val="24"/>
              </w:rPr>
            </w:pPr>
            <w:r>
              <w:rPr>
                <w:sz w:val="24"/>
              </w:rPr>
              <w:t>1</w:t>
            </w:r>
          </w:p>
        </w:tc>
        <w:tc>
          <w:tcPr>
            <w:tcW w:w="904" w:type="dxa"/>
          </w:tcPr>
          <w:p>
            <w:pPr>
              <w:pStyle w:val="14"/>
              <w:rPr>
                <w:rFonts w:ascii="Times New Roman"/>
                <w:sz w:val="24"/>
              </w:rPr>
            </w:pPr>
          </w:p>
        </w:tc>
      </w:tr>
    </w:tbl>
    <w:p>
      <w:pPr>
        <w:pStyle w:val="13"/>
        <w:tabs>
          <w:tab w:val="left" w:pos="4619"/>
          <w:tab w:val="left" w:pos="4620"/>
        </w:tabs>
        <w:spacing w:before="91"/>
        <w:ind w:left="4619" w:firstLine="0"/>
        <w:rPr>
          <w:b/>
          <w:sz w:val="28"/>
        </w:rPr>
      </w:pPr>
      <w:r>
        <w:rPr>
          <w:b/>
          <w:sz w:val="28"/>
        </w:rPr>
        <w:t>技术需求</w:t>
      </w:r>
    </w:p>
    <w:p>
      <w:pPr>
        <w:pStyle w:val="6"/>
        <w:spacing w:before="176"/>
        <w:ind w:left="438"/>
      </w:pPr>
      <w:bookmarkStart w:id="74" w:name="一、"/>
      <w:bookmarkEnd w:id="74"/>
    </w:p>
    <w:p>
      <w:pPr>
        <w:pStyle w:val="8"/>
        <w:spacing w:before="38" w:line="367" w:lineRule="auto"/>
        <w:ind w:left="438" w:right="942" w:firstLine="480"/>
        <w:jc w:val="both"/>
      </w:pPr>
      <w:r>
        <w:rPr>
          <w:rFonts w:hint="eastAsia"/>
        </w:rPr>
        <w:t>萧山区</w:t>
      </w:r>
      <w:r>
        <w:rPr>
          <w:rFonts w:hint="eastAsia"/>
          <w:lang w:val="en-US"/>
        </w:rPr>
        <w:t>北干</w:t>
      </w:r>
      <w:r>
        <w:rPr>
          <w:rFonts w:hint="eastAsia"/>
        </w:rPr>
        <w:t>初级中学外籍教师派遣服务</w:t>
      </w:r>
      <w:r>
        <w:t>。原则上采购单位确定好外教后，外教按时保质提供教学。采购单位将不定期对教师进行考评，若考评不合格，采购单位有权要求调换教师。</w:t>
      </w:r>
    </w:p>
    <w:p>
      <w:pPr>
        <w:pStyle w:val="6"/>
        <w:numPr>
          <w:ilvl w:val="1"/>
          <w:numId w:val="2"/>
        </w:numPr>
        <w:tabs>
          <w:tab w:val="left" w:pos="1161"/>
        </w:tabs>
        <w:spacing w:before="7"/>
        <w:jc w:val="both"/>
      </w:pPr>
      <w:bookmarkStart w:id="75" w:name="1.英语口语教师_数量：1_人"/>
      <w:bookmarkEnd w:id="75"/>
      <w:r>
        <w:rPr>
          <w:rFonts w:hint="eastAsia"/>
          <w:spacing w:val="7"/>
          <w:lang w:val="en-US"/>
        </w:rPr>
        <w:t xml:space="preserve">外教足球教练 </w:t>
      </w:r>
      <w:r>
        <w:rPr>
          <w:spacing w:val="7"/>
        </w:rPr>
        <w:t>数量：</w:t>
      </w:r>
      <w:r>
        <w:rPr>
          <w:spacing w:val="4"/>
        </w:rPr>
        <w:t>1</w:t>
      </w:r>
      <w:r>
        <w:rPr>
          <w:spacing w:val="-15"/>
        </w:rPr>
        <w:t xml:space="preserve"> 人</w:t>
      </w:r>
    </w:p>
    <w:p>
      <w:pPr>
        <w:pStyle w:val="13"/>
        <w:numPr>
          <w:ilvl w:val="2"/>
          <w:numId w:val="2"/>
        </w:numPr>
        <w:tabs>
          <w:tab w:val="left" w:pos="1521"/>
        </w:tabs>
        <w:spacing w:before="158" w:line="360" w:lineRule="auto"/>
        <w:jc w:val="both"/>
        <w:rPr>
          <w:sz w:val="24"/>
          <w:szCs w:val="24"/>
        </w:rPr>
      </w:pPr>
      <w:r>
        <w:rPr>
          <w:spacing w:val="-3"/>
          <w:sz w:val="24"/>
          <w:szCs w:val="24"/>
        </w:rPr>
        <w:t>负责足球训练总体培训课程的设计、修正、执行、制定</w:t>
      </w:r>
      <w:r>
        <w:rPr>
          <w:rFonts w:hint="eastAsia"/>
          <w:spacing w:val="-3"/>
          <w:sz w:val="24"/>
          <w:szCs w:val="24"/>
          <w:lang w:val="en-US"/>
        </w:rPr>
        <w:t>并</w:t>
      </w:r>
      <w:r>
        <w:rPr>
          <w:spacing w:val="-3"/>
          <w:sz w:val="24"/>
          <w:szCs w:val="24"/>
        </w:rPr>
        <w:t>具有独立完成足球专业学科</w:t>
      </w:r>
    </w:p>
    <w:p>
      <w:pPr>
        <w:pStyle w:val="13"/>
        <w:tabs>
          <w:tab w:val="left" w:pos="1521"/>
        </w:tabs>
        <w:spacing w:before="158" w:line="360" w:lineRule="auto"/>
        <w:ind w:left="0" w:firstLine="468" w:firstLineChars="200"/>
        <w:jc w:val="both"/>
        <w:rPr>
          <w:sz w:val="24"/>
          <w:szCs w:val="24"/>
        </w:rPr>
      </w:pPr>
      <w:r>
        <w:rPr>
          <w:spacing w:val="-3"/>
          <w:sz w:val="24"/>
          <w:szCs w:val="24"/>
        </w:rPr>
        <w:t>内所涉及的相关工作的能力</w:t>
      </w:r>
      <w:r>
        <w:rPr>
          <w:rFonts w:hint="eastAsia"/>
          <w:spacing w:val="-3"/>
          <w:sz w:val="24"/>
          <w:szCs w:val="24"/>
        </w:rPr>
        <w:t>，能够单独授课，并与学生良好地交流互动</w:t>
      </w:r>
      <w:r>
        <w:rPr>
          <w:spacing w:val="-3"/>
          <w:sz w:val="24"/>
          <w:szCs w:val="24"/>
        </w:rPr>
        <w:t>。</w:t>
      </w:r>
    </w:p>
    <w:p>
      <w:pPr>
        <w:pStyle w:val="13"/>
        <w:numPr>
          <w:ilvl w:val="2"/>
          <w:numId w:val="2"/>
        </w:numPr>
        <w:tabs>
          <w:tab w:val="left" w:pos="1521"/>
        </w:tabs>
        <w:spacing w:line="360" w:lineRule="auto"/>
        <w:ind w:left="438" w:right="965" w:firstLine="480"/>
        <w:rPr>
          <w:sz w:val="24"/>
          <w:szCs w:val="24"/>
        </w:rPr>
      </w:pPr>
      <w:r>
        <w:rPr>
          <w:spacing w:val="-11"/>
          <w:sz w:val="24"/>
          <w:szCs w:val="24"/>
        </w:rPr>
        <w:t xml:space="preserve">教师年龄在 </w:t>
      </w:r>
      <w:r>
        <w:rPr>
          <w:sz w:val="24"/>
          <w:szCs w:val="24"/>
        </w:rPr>
        <w:t>20-40</w:t>
      </w:r>
      <w:r>
        <w:rPr>
          <w:spacing w:val="-20"/>
          <w:sz w:val="24"/>
          <w:szCs w:val="24"/>
        </w:rPr>
        <w:t xml:space="preserve"> 周岁以内，身体健康</w:t>
      </w:r>
      <w:r>
        <w:rPr>
          <w:spacing w:val="-5"/>
          <w:sz w:val="24"/>
          <w:szCs w:val="24"/>
        </w:rPr>
        <w:t>（</w:t>
      </w:r>
      <w:r>
        <w:rPr>
          <w:sz w:val="24"/>
          <w:szCs w:val="24"/>
        </w:rPr>
        <w:t>必须通过浙江出入境检验检疫局体</w:t>
      </w:r>
      <w:r>
        <w:rPr>
          <w:spacing w:val="-6"/>
          <w:sz w:val="24"/>
          <w:szCs w:val="24"/>
        </w:rPr>
        <w:t xml:space="preserve">检，获得合格的境外人员体格检查记录验证证明 </w:t>
      </w:r>
      <w:r>
        <w:rPr>
          <w:spacing w:val="-12"/>
          <w:sz w:val="24"/>
          <w:szCs w:val="24"/>
        </w:rPr>
        <w:t>）</w:t>
      </w:r>
      <w:r>
        <w:rPr>
          <w:spacing w:val="-8"/>
          <w:sz w:val="24"/>
          <w:szCs w:val="24"/>
        </w:rPr>
        <w:t>；无犯罪记录</w:t>
      </w:r>
      <w:r>
        <w:rPr>
          <w:sz w:val="24"/>
          <w:szCs w:val="24"/>
        </w:rPr>
        <w:t>（提供当地政府出具的有效证明）；无不良嗜好。</w:t>
      </w:r>
    </w:p>
    <w:p>
      <w:pPr>
        <w:pStyle w:val="13"/>
        <w:numPr>
          <w:ilvl w:val="2"/>
          <w:numId w:val="2"/>
        </w:numPr>
        <w:tabs>
          <w:tab w:val="left" w:pos="1521"/>
        </w:tabs>
        <w:spacing w:line="369" w:lineRule="auto"/>
        <w:ind w:left="438" w:right="894" w:firstLine="480"/>
        <w:rPr>
          <w:sz w:val="24"/>
          <w:szCs w:val="24"/>
        </w:rPr>
      </w:pPr>
      <w:r>
        <w:rPr>
          <w:spacing w:val="-3"/>
          <w:sz w:val="24"/>
          <w:szCs w:val="24"/>
        </w:rPr>
        <w:t>所授学科或专业原则上应与其所学专业相关，须持有有效期内的教师资格证书或其他相关证书。</w:t>
      </w:r>
    </w:p>
    <w:p>
      <w:pPr>
        <w:pStyle w:val="13"/>
        <w:numPr>
          <w:ilvl w:val="2"/>
          <w:numId w:val="2"/>
        </w:numPr>
        <w:tabs>
          <w:tab w:val="left" w:pos="1521"/>
        </w:tabs>
        <w:rPr>
          <w:sz w:val="24"/>
          <w:szCs w:val="24"/>
        </w:rPr>
      </w:pPr>
      <w:r>
        <w:rPr>
          <w:sz w:val="24"/>
          <w:szCs w:val="24"/>
        </w:rPr>
        <w:t>合同期内，招标方可随时确定人员由中标方派遣。</w:t>
      </w:r>
    </w:p>
    <w:p>
      <w:pPr>
        <w:pStyle w:val="13"/>
        <w:numPr>
          <w:ilvl w:val="2"/>
          <w:numId w:val="2"/>
        </w:numPr>
        <w:tabs>
          <w:tab w:val="left" w:pos="1521"/>
        </w:tabs>
        <w:spacing w:before="145" w:line="364" w:lineRule="auto"/>
        <w:ind w:left="438" w:right="3186" w:firstLine="480"/>
        <w:rPr>
          <w:sz w:val="24"/>
          <w:szCs w:val="24"/>
        </w:rPr>
      </w:pPr>
      <w:r>
        <w:rPr>
          <w:spacing w:val="-9"/>
          <w:sz w:val="24"/>
          <w:szCs w:val="24"/>
        </w:rPr>
        <w:t xml:space="preserve">确定录用后，需在 </w:t>
      </w:r>
      <w:r>
        <w:rPr>
          <w:sz w:val="24"/>
          <w:szCs w:val="24"/>
        </w:rPr>
        <w:t>30</w:t>
      </w:r>
      <w:r>
        <w:rPr>
          <w:spacing w:val="-10"/>
          <w:sz w:val="24"/>
          <w:szCs w:val="24"/>
        </w:rPr>
        <w:t xml:space="preserve"> 天内办理出外籍人员工作许可证。合同时间：一年</w:t>
      </w:r>
    </w:p>
    <w:p>
      <w:pPr>
        <w:pStyle w:val="8"/>
        <w:tabs>
          <w:tab w:val="left" w:pos="1758"/>
        </w:tabs>
        <w:spacing w:before="9" w:line="364" w:lineRule="auto"/>
        <w:ind w:left="438" w:right="5389"/>
      </w:pPr>
      <w:r>
        <w:t>工作时间:</w:t>
      </w:r>
      <w:r>
        <w:tab/>
      </w:r>
      <w:r>
        <w:t>按学校课表上课，法定工作日</w:t>
      </w:r>
      <w:r>
        <w:rPr>
          <w:spacing w:val="-17"/>
        </w:rPr>
        <w:t>。</w:t>
      </w:r>
      <w:r>
        <w:t>教课时间：法定工作日。</w:t>
      </w:r>
    </w:p>
    <w:p>
      <w:pPr>
        <w:pStyle w:val="8"/>
        <w:spacing w:before="8"/>
        <w:ind w:left="438"/>
      </w:pPr>
      <w:r>
        <w:t>饮食费用：学校餐厅可用午餐</w:t>
      </w:r>
    </w:p>
    <w:p>
      <w:pPr>
        <w:pStyle w:val="8"/>
        <w:spacing w:before="163" w:line="367" w:lineRule="auto"/>
        <w:ind w:left="438" w:right="5269"/>
      </w:pPr>
      <w:r>
        <w:t>住宿地点：校园外（注：由供应商自行解决） 交通方式：自行解决</w:t>
      </w:r>
    </w:p>
    <w:p>
      <w:pPr>
        <w:spacing w:line="367" w:lineRule="auto"/>
        <w:rPr>
          <w:sz w:val="24"/>
          <w:szCs w:val="24"/>
        </w:rPr>
        <w:sectPr>
          <w:pgSz w:w="11910" w:h="16840"/>
          <w:pgMar w:top="1260" w:right="420" w:bottom="1220" w:left="980" w:header="887" w:footer="1039" w:gutter="0"/>
          <w:cols w:space="720" w:num="1"/>
        </w:sectPr>
      </w:pPr>
    </w:p>
    <w:p>
      <w:pPr>
        <w:pStyle w:val="5"/>
        <w:ind w:firstLine="0"/>
      </w:pPr>
      <w:bookmarkStart w:id="76" w:name="2、商务需求"/>
      <w:bookmarkEnd w:id="76"/>
      <w:r>
        <w:t>2、商务需求</w:t>
      </w:r>
    </w:p>
    <w:p>
      <w:pPr>
        <w:pStyle w:val="8"/>
        <w:spacing w:before="175"/>
        <w:ind w:left="678"/>
      </w:pPr>
      <w:r>
        <w:t>★</w:t>
      </w:r>
      <w:r>
        <w:rPr>
          <w:rFonts w:ascii="Times New Roman" w:hAnsi="Times New Roman" w:eastAsia="Times New Roman"/>
        </w:rPr>
        <w:t>2.1</w:t>
      </w:r>
      <w:r>
        <w:t>、服务期限：按招标人要求，具体在合同中明确</w:t>
      </w:r>
    </w:p>
    <w:p>
      <w:pPr>
        <w:pStyle w:val="13"/>
        <w:numPr>
          <w:ilvl w:val="1"/>
          <w:numId w:val="3"/>
        </w:numPr>
        <w:tabs>
          <w:tab w:val="left" w:pos="981"/>
        </w:tabs>
        <w:spacing w:before="139"/>
        <w:rPr>
          <w:sz w:val="24"/>
        </w:rPr>
      </w:pPr>
      <w:r>
        <w:rPr>
          <w:sz w:val="24"/>
        </w:rPr>
        <w:t>、合同期限</w:t>
      </w:r>
      <w:r>
        <w:rPr>
          <w:rFonts w:ascii="Times New Roman" w:eastAsia="Times New Roman"/>
          <w:sz w:val="24"/>
        </w:rPr>
        <w:t>:</w:t>
      </w:r>
      <w:r>
        <w:rPr>
          <w:sz w:val="24"/>
        </w:rPr>
        <w:t>服务起止时间，根据招标进度在签订合同时明确。</w:t>
      </w:r>
    </w:p>
    <w:p>
      <w:pPr>
        <w:pStyle w:val="6"/>
        <w:spacing w:before="154"/>
        <w:ind w:left="438"/>
      </w:pPr>
      <w:bookmarkStart w:id="77" w:name="★2.3、付款方式："/>
      <w:bookmarkEnd w:id="77"/>
      <w:r>
        <w:rPr>
          <w:b w:val="0"/>
        </w:rPr>
        <w:t>★</w:t>
      </w:r>
      <w:r>
        <w:t>2.3、付款方式：</w:t>
      </w:r>
    </w:p>
    <w:p>
      <w:pPr>
        <w:pStyle w:val="8"/>
        <w:spacing w:before="124" w:line="331" w:lineRule="auto"/>
        <w:ind w:left="438" w:right="836" w:firstLine="360"/>
      </w:pPr>
      <w:r>
        <w:rPr>
          <w:spacing w:val="-12"/>
        </w:rPr>
        <w:t xml:space="preserve">协议签订 </w:t>
      </w:r>
      <w:r>
        <w:t>14</w:t>
      </w:r>
      <w:r>
        <w:rPr>
          <w:spacing w:val="-15"/>
        </w:rPr>
        <w:t xml:space="preserve"> 天内，向中标单位支付中标价的 </w:t>
      </w:r>
      <w:r>
        <w:rPr>
          <w:spacing w:val="-9"/>
        </w:rPr>
        <w:t>30</w:t>
      </w:r>
      <w:r>
        <w:rPr>
          <w:spacing w:val="-10"/>
        </w:rPr>
        <w:t>%，外籍教师到岗</w:t>
      </w:r>
      <w:r>
        <w:t>（秋季学期开学日前3 天</w:t>
      </w:r>
      <w:r>
        <w:rPr>
          <w:spacing w:val="-10"/>
        </w:rPr>
        <w:t>）</w:t>
      </w:r>
      <w:r>
        <w:rPr>
          <w:spacing w:val="-32"/>
        </w:rPr>
        <w:t xml:space="preserve">前 </w:t>
      </w:r>
      <w:r>
        <w:t>14</w:t>
      </w:r>
      <w:r>
        <w:rPr>
          <w:spacing w:val="-15"/>
        </w:rPr>
        <w:t xml:space="preserve"> 天内，向中标单位支付中标价的 </w:t>
      </w:r>
      <w:r>
        <w:t>40%</w:t>
      </w:r>
      <w:r>
        <w:rPr>
          <w:spacing w:val="-3"/>
        </w:rPr>
        <w:t>，第一学期</w:t>
      </w:r>
      <w:r>
        <w:t>（秋季学期</w:t>
      </w:r>
      <w:r>
        <w:rPr>
          <w:spacing w:val="-8"/>
        </w:rPr>
        <w:t>）</w:t>
      </w:r>
      <w:r>
        <w:rPr>
          <w:spacing w:val="-17"/>
        </w:rPr>
        <w:t xml:space="preserve">结束后 </w:t>
      </w:r>
      <w:r>
        <w:t>7</w:t>
      </w:r>
      <w:r>
        <w:rPr>
          <w:spacing w:val="-17"/>
        </w:rPr>
        <w:t xml:space="preserve"> 天内， </w:t>
      </w:r>
      <w:r>
        <w:rPr>
          <w:spacing w:val="-7"/>
        </w:rPr>
        <w:t xml:space="preserve">向中标单位支付中标价的 </w:t>
      </w:r>
      <w:r>
        <w:rPr>
          <w:spacing w:val="-8"/>
        </w:rPr>
        <w:t>15</w:t>
      </w:r>
      <w:r>
        <w:rPr>
          <w:spacing w:val="-10"/>
        </w:rPr>
        <w:t>%，第二学期</w:t>
      </w:r>
      <w:r>
        <w:t>（春季学期</w:t>
      </w:r>
      <w:r>
        <w:rPr>
          <w:spacing w:val="-24"/>
        </w:rPr>
        <w:t>）</w:t>
      </w:r>
      <w:r>
        <w:rPr>
          <w:spacing w:val="-16"/>
        </w:rPr>
        <w:t xml:space="preserve">结束后 </w:t>
      </w:r>
      <w:r>
        <w:t>7</w:t>
      </w:r>
      <w:r>
        <w:rPr>
          <w:spacing w:val="-11"/>
        </w:rPr>
        <w:t xml:space="preserve"> 天内，向中标单位支付中</w:t>
      </w:r>
      <w:r>
        <w:rPr>
          <w:spacing w:val="-24"/>
        </w:rPr>
        <w:t xml:space="preserve">标价的 </w:t>
      </w:r>
      <w:r>
        <w:t>15%。具体在合同中明确。</w:t>
      </w:r>
    </w:p>
    <w:p>
      <w:pPr>
        <w:pStyle w:val="6"/>
        <w:spacing w:before="4"/>
        <w:ind w:left="918"/>
      </w:pPr>
      <w:bookmarkStart w:id="78" w:name="注："/>
      <w:bookmarkEnd w:id="78"/>
      <w:r>
        <w:t>注：</w:t>
      </w:r>
    </w:p>
    <w:p>
      <w:pPr>
        <w:pStyle w:val="13"/>
        <w:numPr>
          <w:ilvl w:val="2"/>
          <w:numId w:val="3"/>
        </w:numPr>
        <w:tabs>
          <w:tab w:val="left" w:pos="1101"/>
        </w:tabs>
        <w:spacing w:before="106" w:line="331" w:lineRule="auto"/>
        <w:ind w:right="1081" w:firstLine="480"/>
        <w:rPr>
          <w:sz w:val="24"/>
        </w:rPr>
      </w:pPr>
      <w:r>
        <w:rPr>
          <w:spacing w:val="-10"/>
          <w:sz w:val="24"/>
        </w:rPr>
        <w:t>除</w:t>
      </w:r>
      <w:r>
        <w:rPr>
          <w:rFonts w:hint="eastAsia"/>
          <w:spacing w:val="-10"/>
          <w:sz w:val="24"/>
        </w:rPr>
        <w:t>招</w:t>
      </w:r>
      <w:r>
        <w:rPr>
          <w:spacing w:val="-10"/>
          <w:sz w:val="24"/>
        </w:rPr>
        <w:t>标文件标注的参考品牌外，欢迎其它能满足本项目技术需求且性能与所注品牌相当的产品参与。</w:t>
      </w:r>
    </w:p>
    <w:p>
      <w:pPr>
        <w:pStyle w:val="13"/>
        <w:numPr>
          <w:ilvl w:val="2"/>
          <w:numId w:val="3"/>
        </w:numPr>
        <w:tabs>
          <w:tab w:val="left" w:pos="1101"/>
        </w:tabs>
        <w:spacing w:before="5"/>
        <w:ind w:left="1100" w:hanging="185"/>
        <w:rPr>
          <w:sz w:val="24"/>
        </w:rPr>
      </w:pPr>
      <w:r>
        <w:rPr>
          <w:sz w:val="24"/>
        </w:rPr>
        <w:t>如有附图，仅作参考。</w:t>
      </w:r>
    </w:p>
    <w:p>
      <w:pPr>
        <w:pStyle w:val="8"/>
        <w:spacing w:before="108" w:line="331" w:lineRule="auto"/>
        <w:ind w:left="438" w:right="1016" w:firstLine="480"/>
      </w:pPr>
      <w:r>
        <w:rPr>
          <w:rFonts w:ascii="Times New Roman" w:hAnsi="Times New Roman" w:eastAsia="Times New Roman"/>
        </w:rPr>
        <w:t>3</w:t>
      </w:r>
      <w:r>
        <w:rPr>
          <w:rFonts w:hint="eastAsia"/>
        </w:rPr>
        <w:t>．</w:t>
      </w:r>
      <w:r>
        <w:rPr>
          <w:rFonts w:ascii="Times New Roman" w:hAnsi="Times New Roman" w:eastAsia="Times New Roman"/>
        </w:rPr>
        <w:t>招标</w:t>
      </w:r>
      <w:r>
        <w:rPr>
          <w:spacing w:val="-8"/>
        </w:rPr>
        <w:t>文件中打★内容为实质性要求，不允许有负偏离，否则将以涉及无效投标条款作无效投标。</w:t>
      </w:r>
    </w:p>
    <w:p>
      <w:pPr>
        <w:pStyle w:val="8"/>
        <w:spacing w:before="7"/>
        <w:ind w:left="918"/>
      </w:pPr>
      <w:r>
        <w:rPr>
          <w:rFonts w:hint="eastAsia" w:ascii="Times New Roman"/>
        </w:rPr>
        <w:t xml:space="preserve"> </w:t>
      </w:r>
    </w:p>
    <w:p>
      <w:pPr>
        <w:sectPr>
          <w:pgSz w:w="11910" w:h="16840"/>
          <w:pgMar w:top="1260" w:right="420" w:bottom="1220" w:left="980" w:header="887" w:footer="1039" w:gutter="0"/>
          <w:cols w:space="720" w:num="1"/>
        </w:sectPr>
      </w:pPr>
    </w:p>
    <w:p>
      <w:pPr>
        <w:pStyle w:val="2"/>
        <w:jc w:val="center"/>
      </w:pPr>
      <w:bookmarkStart w:id="79" w:name="_Toc5198078"/>
      <w:r>
        <w:rPr>
          <w:rFonts w:hint="eastAsia"/>
        </w:rPr>
        <w:t>第四部分  投标文件格式</w:t>
      </w:r>
      <w:bookmarkEnd w:id="79"/>
    </w:p>
    <w:p>
      <w:pPr>
        <w:spacing w:line="360" w:lineRule="auto"/>
        <w:jc w:val="center"/>
        <w:rPr>
          <w:sz w:val="24"/>
        </w:rPr>
      </w:pPr>
    </w:p>
    <w:p>
      <w:pPr>
        <w:spacing w:line="360" w:lineRule="auto"/>
        <w:jc w:val="center"/>
        <w:rPr>
          <w:sz w:val="24"/>
        </w:rPr>
      </w:pPr>
      <w:r>
        <w:rPr>
          <w:rFonts w:hint="eastAsia"/>
          <w:sz w:val="24"/>
        </w:rPr>
        <w:t>一、投标函</w:t>
      </w:r>
    </w:p>
    <w:p>
      <w:pPr>
        <w:spacing w:line="360" w:lineRule="auto"/>
        <w:rPr>
          <w:sz w:val="24"/>
        </w:rPr>
      </w:pPr>
    </w:p>
    <w:p>
      <w:pPr>
        <w:spacing w:line="360" w:lineRule="auto"/>
        <w:rPr>
          <w:sz w:val="24"/>
          <w:u w:val="single"/>
        </w:rPr>
      </w:pPr>
      <w:r>
        <w:rPr>
          <w:rFonts w:hint="eastAsia"/>
          <w:sz w:val="24"/>
        </w:rPr>
        <w:t>致：</w:t>
      </w:r>
      <w:r>
        <w:rPr>
          <w:rFonts w:hint="eastAsia"/>
          <w:sz w:val="24"/>
          <w:u w:val="single"/>
        </w:rPr>
        <w:t>（采购人名称）</w:t>
      </w:r>
    </w:p>
    <w:p>
      <w:pPr>
        <w:spacing w:line="360" w:lineRule="auto"/>
        <w:ind w:firstLine="480" w:firstLineChars="200"/>
        <w:rPr>
          <w:sz w:val="24"/>
        </w:rPr>
      </w:pPr>
      <w:r>
        <w:rPr>
          <w:rFonts w:hint="eastAsia"/>
          <w:sz w:val="24"/>
        </w:rPr>
        <w:t>1、根据已收到的贵方编号为</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项目的招标文件，遵照《中华人民政府采购法》等有关规定，我方经研究上述招标文件的各项条款后，愿以以下报价承担招标文件要求的采购任务。</w:t>
      </w:r>
    </w:p>
    <w:p>
      <w:pPr>
        <w:spacing w:line="360" w:lineRule="auto"/>
        <w:ind w:firstLine="480" w:firstLineChars="200"/>
        <w:rPr>
          <w:sz w:val="24"/>
        </w:rPr>
      </w:pPr>
      <w:r>
        <w:rPr>
          <w:rFonts w:hint="eastAsia"/>
          <w:sz w:val="24"/>
        </w:rPr>
        <w:t xml:space="preserve">    标项</w:t>
      </w:r>
      <w:r>
        <w:rPr>
          <w:rFonts w:hint="eastAsia"/>
          <w:sz w:val="24"/>
          <w:u w:val="single"/>
        </w:rPr>
        <w:t xml:space="preserve">     </w:t>
      </w:r>
      <w:r>
        <w:rPr>
          <w:rFonts w:hint="eastAsia"/>
          <w:sz w:val="24"/>
        </w:rPr>
        <w:t>投标总价（大写）：</w:t>
      </w:r>
      <w:r>
        <w:rPr>
          <w:rFonts w:hint="eastAsia"/>
          <w:sz w:val="24"/>
          <w:u w:val="single"/>
        </w:rPr>
        <w:t xml:space="preserve">           </w:t>
      </w:r>
      <w:r>
        <w:rPr>
          <w:rFonts w:hint="eastAsia"/>
          <w:sz w:val="24"/>
        </w:rPr>
        <w:t>元人民币（RMB：￥</w:t>
      </w:r>
      <w:r>
        <w:rPr>
          <w:rFonts w:hint="eastAsia"/>
          <w:sz w:val="24"/>
          <w:u w:val="single"/>
        </w:rPr>
        <w:t xml:space="preserve">          </w:t>
      </w:r>
      <w:r>
        <w:rPr>
          <w:rFonts w:hint="eastAsia"/>
          <w:sz w:val="24"/>
        </w:rPr>
        <w:t>）</w:t>
      </w:r>
    </w:p>
    <w:p>
      <w:pPr>
        <w:spacing w:line="360" w:lineRule="auto"/>
        <w:ind w:firstLine="480" w:firstLineChars="200"/>
        <w:rPr>
          <w:sz w:val="24"/>
        </w:rPr>
      </w:pPr>
      <w:r>
        <w:rPr>
          <w:rFonts w:hint="eastAsia"/>
          <w:sz w:val="24"/>
        </w:rPr>
        <w:t>2、我方已详细审阅全部招标文件，包括补疑文件及有关附件，完全接受本次采购招标文件的各项内容。</w:t>
      </w:r>
    </w:p>
    <w:p>
      <w:pPr>
        <w:spacing w:line="360" w:lineRule="auto"/>
        <w:ind w:firstLine="480" w:firstLineChars="200"/>
        <w:rPr>
          <w:sz w:val="24"/>
        </w:rPr>
      </w:pPr>
      <w:r>
        <w:rPr>
          <w:rFonts w:hint="eastAsia"/>
          <w:sz w:val="24"/>
        </w:rPr>
        <w:t>3、我方自愿参加本次采购的投标，并保证投标文件中所列举的投标报价、公司基本资料及相关资料真实合法。</w:t>
      </w:r>
    </w:p>
    <w:p>
      <w:pPr>
        <w:spacing w:line="360" w:lineRule="auto"/>
        <w:ind w:firstLine="480" w:firstLineChars="200"/>
        <w:rPr>
          <w:sz w:val="24"/>
        </w:rPr>
      </w:pPr>
      <w:r>
        <w:rPr>
          <w:rFonts w:hint="eastAsia"/>
          <w:sz w:val="24"/>
        </w:rPr>
        <w:t>4、如果我方中标，我方保证按照招标文件要求、投标文件承诺签订并履行合同。</w:t>
      </w:r>
    </w:p>
    <w:p>
      <w:pPr>
        <w:spacing w:line="360" w:lineRule="auto"/>
        <w:ind w:firstLine="480" w:firstLineChars="200"/>
        <w:rPr>
          <w:sz w:val="24"/>
        </w:rPr>
      </w:pPr>
    </w:p>
    <w:p>
      <w:pPr>
        <w:spacing w:line="360" w:lineRule="auto"/>
        <w:ind w:firstLine="540" w:firstLineChars="225"/>
        <w:rPr>
          <w:sz w:val="24"/>
        </w:rPr>
      </w:pPr>
      <w:r>
        <w:rPr>
          <w:rFonts w:hint="eastAsia"/>
          <w:sz w:val="24"/>
        </w:rPr>
        <w:t>投  标  人（加盖公章）：</w:t>
      </w:r>
    </w:p>
    <w:p>
      <w:pPr>
        <w:spacing w:line="360" w:lineRule="auto"/>
        <w:ind w:firstLine="540" w:firstLineChars="225"/>
        <w:rPr>
          <w:sz w:val="24"/>
        </w:rPr>
      </w:pPr>
    </w:p>
    <w:p>
      <w:pPr>
        <w:spacing w:line="360" w:lineRule="auto"/>
        <w:ind w:firstLine="540" w:firstLineChars="225"/>
        <w:rPr>
          <w:sz w:val="24"/>
        </w:rPr>
      </w:pPr>
      <w:r>
        <w:rPr>
          <w:rFonts w:hint="eastAsia"/>
          <w:sz w:val="24"/>
        </w:rPr>
        <w:t>投标人代表（签名）：</w:t>
      </w:r>
    </w:p>
    <w:p>
      <w:pPr>
        <w:spacing w:line="360" w:lineRule="auto"/>
        <w:ind w:firstLine="5220" w:firstLineChars="2175"/>
        <w:rPr>
          <w:sz w:val="24"/>
        </w:rPr>
      </w:pPr>
    </w:p>
    <w:p>
      <w:pPr>
        <w:spacing w:line="360" w:lineRule="auto"/>
        <w:ind w:firstLine="480" w:firstLineChars="200"/>
        <w:rPr>
          <w:sz w:val="24"/>
        </w:rPr>
      </w:pPr>
      <w:r>
        <w:rPr>
          <w:rFonts w:hint="eastAsia"/>
          <w:sz w:val="24"/>
        </w:rPr>
        <w:t xml:space="preserve">                                      日期：       年   月   日</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jc w:val="center"/>
        <w:rPr>
          <w:sz w:val="24"/>
        </w:rPr>
      </w:pPr>
      <w:r>
        <w:rPr>
          <w:sz w:val="24"/>
        </w:rPr>
        <w:br w:type="page"/>
      </w:r>
      <w:r>
        <w:rPr>
          <w:rFonts w:hint="eastAsia"/>
          <w:sz w:val="24"/>
        </w:rPr>
        <w:t>二、投标报价明细表</w:t>
      </w:r>
    </w:p>
    <w:p>
      <w:pPr>
        <w:spacing w:line="360" w:lineRule="auto"/>
        <w:jc w:val="center"/>
        <w:rPr>
          <w:sz w:val="24"/>
        </w:rPr>
      </w:pPr>
      <w:r>
        <w:rPr>
          <w:rFonts w:hint="eastAsia"/>
          <w:sz w:val="24"/>
        </w:rPr>
        <w:t>标项：                                                           金额单位：元</w:t>
      </w:r>
    </w:p>
    <w:tbl>
      <w:tblPr>
        <w:tblStyle w:val="1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260"/>
        <w:gridCol w:w="3062"/>
        <w:gridCol w:w="900"/>
        <w:gridCol w:w="900"/>
        <w:gridCol w:w="72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序号</w:t>
            </w:r>
          </w:p>
        </w:tc>
        <w:tc>
          <w:tcPr>
            <w:tcW w:w="1260" w:type="dxa"/>
            <w:vAlign w:val="center"/>
          </w:tcPr>
          <w:p>
            <w:r>
              <w:rPr>
                <w:rFonts w:hint="eastAsia"/>
              </w:rPr>
              <w:t>名称</w:t>
            </w:r>
          </w:p>
        </w:tc>
        <w:tc>
          <w:tcPr>
            <w:tcW w:w="3062" w:type="dxa"/>
            <w:vAlign w:val="center"/>
          </w:tcPr>
          <w:p>
            <w:r>
              <w:rPr>
                <w:rFonts w:hint="eastAsia"/>
              </w:rPr>
              <w:t>规格、型号及参数</w:t>
            </w:r>
          </w:p>
        </w:tc>
        <w:tc>
          <w:tcPr>
            <w:tcW w:w="900" w:type="dxa"/>
            <w:vAlign w:val="center"/>
          </w:tcPr>
          <w:p>
            <w:r>
              <w:rPr>
                <w:rFonts w:hint="eastAsia"/>
              </w:rPr>
              <w:t>数量</w:t>
            </w:r>
          </w:p>
        </w:tc>
        <w:tc>
          <w:tcPr>
            <w:tcW w:w="900" w:type="dxa"/>
            <w:vAlign w:val="center"/>
          </w:tcPr>
          <w:p>
            <w:r>
              <w:rPr>
                <w:rFonts w:hint="eastAsia"/>
              </w:rPr>
              <w:t>单位</w:t>
            </w:r>
          </w:p>
        </w:tc>
        <w:tc>
          <w:tcPr>
            <w:tcW w:w="720" w:type="dxa"/>
            <w:vAlign w:val="center"/>
          </w:tcPr>
          <w:p>
            <w:r>
              <w:rPr>
                <w:rFonts w:hint="eastAsia"/>
              </w:rPr>
              <w:t>单价</w:t>
            </w:r>
          </w:p>
        </w:tc>
        <w:tc>
          <w:tcPr>
            <w:tcW w:w="900" w:type="dxa"/>
            <w:vAlign w:val="center"/>
          </w:tcPr>
          <w:p>
            <w:r>
              <w:rPr>
                <w:rFonts w:hint="eastAsia"/>
              </w:rPr>
              <w:t>总价</w:t>
            </w:r>
          </w:p>
        </w:tc>
        <w:tc>
          <w:tcPr>
            <w:tcW w:w="900" w:type="dxa"/>
            <w:vAlign w:val="center"/>
          </w:tcPr>
          <w:p>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一</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2</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二</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t>…</w:t>
            </w:r>
          </w:p>
        </w:tc>
        <w:tc>
          <w:tcPr>
            <w:tcW w:w="1260" w:type="dxa"/>
            <w:vAlign w:val="center"/>
          </w:tcPr>
          <w:p>
            <w:r>
              <w:t>…</w:t>
            </w:r>
          </w:p>
        </w:tc>
        <w:tc>
          <w:tcPr>
            <w:tcW w:w="3062" w:type="dxa"/>
            <w:vAlign w:val="center"/>
          </w:tcPr>
          <w:p>
            <w:r>
              <w:t>…</w:t>
            </w:r>
          </w:p>
        </w:tc>
        <w:tc>
          <w:tcPr>
            <w:tcW w:w="900" w:type="dxa"/>
            <w:vAlign w:val="center"/>
          </w:tcPr>
          <w:p>
            <w:r>
              <w:t>…</w:t>
            </w:r>
          </w:p>
        </w:tc>
        <w:tc>
          <w:tcPr>
            <w:tcW w:w="900" w:type="dxa"/>
            <w:vAlign w:val="center"/>
          </w:tcPr>
          <w:p/>
        </w:tc>
        <w:tc>
          <w:tcPr>
            <w:tcW w:w="720" w:type="dxa"/>
            <w:vAlign w:val="center"/>
          </w:tcPr>
          <w:p/>
        </w:tc>
        <w:tc>
          <w:tcPr>
            <w:tcW w:w="900" w:type="dxa"/>
            <w:vAlign w:val="center"/>
          </w:tcPr>
          <w:p/>
        </w:tc>
        <w:tc>
          <w:tcPr>
            <w:tcW w:w="900" w:type="dxa"/>
            <w:vAlign w:val="center"/>
          </w:tcPr>
          <w:p>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978" w:type="dxa"/>
            <w:gridSpan w:val="2"/>
            <w:vAlign w:val="center"/>
          </w:tcPr>
          <w:p>
            <w:r>
              <w:rPr>
                <w:rFonts w:hint="eastAsia"/>
              </w:rPr>
              <w:t>合计总价（￥）</w:t>
            </w:r>
          </w:p>
        </w:tc>
        <w:tc>
          <w:tcPr>
            <w:tcW w:w="7382" w:type="dxa"/>
            <w:gridSpan w:val="6"/>
            <w:vAlign w:val="center"/>
          </w:tcPr>
          <w:p/>
        </w:tc>
      </w:tr>
    </w:tbl>
    <w:p>
      <w:pPr>
        <w:spacing w:line="360" w:lineRule="auto"/>
        <w:ind w:firstLine="480" w:firstLineChars="200"/>
        <w:rPr>
          <w:sz w:val="24"/>
        </w:rPr>
      </w:pPr>
    </w:p>
    <w:p>
      <w:pPr>
        <w:spacing w:line="360" w:lineRule="auto"/>
        <w:ind w:firstLine="480" w:firstLineChars="200"/>
        <w:rPr>
          <w:sz w:val="24"/>
        </w:rPr>
      </w:pPr>
      <w:r>
        <w:rPr>
          <w:rFonts w:hint="eastAsia"/>
          <w:sz w:val="24"/>
        </w:rPr>
        <w:t>备注：</w:t>
      </w:r>
    </w:p>
    <w:p>
      <w:pPr>
        <w:spacing w:line="360" w:lineRule="auto"/>
        <w:ind w:firstLine="480" w:firstLineChars="200"/>
        <w:rPr>
          <w:sz w:val="24"/>
        </w:rPr>
      </w:pPr>
      <w:r>
        <w:rPr>
          <w:rFonts w:hint="eastAsia"/>
          <w:sz w:val="24"/>
        </w:rPr>
        <w:t>1、投标报价明细表合计总价应与投标函中的“投标总价”相一致，不一致时，以投标函中投标总价为准。</w:t>
      </w:r>
    </w:p>
    <w:p>
      <w:pPr>
        <w:spacing w:line="360" w:lineRule="auto"/>
        <w:ind w:firstLine="480" w:firstLineChars="200"/>
        <w:rPr>
          <w:sz w:val="24"/>
        </w:rPr>
      </w:pPr>
      <w:r>
        <w:rPr>
          <w:rFonts w:hint="eastAsia"/>
          <w:sz w:val="24"/>
        </w:rPr>
        <w:t>2、“投标报价明细表”为多页的，每页均需由投标人代表签名并加盖投标人公章。</w:t>
      </w:r>
    </w:p>
    <w:p>
      <w:pPr>
        <w:spacing w:line="360" w:lineRule="auto"/>
        <w:ind w:firstLine="480" w:firstLineChars="200"/>
        <w:rPr>
          <w:sz w:val="24"/>
        </w:rPr>
      </w:pPr>
      <w:r>
        <w:rPr>
          <w:rFonts w:hint="eastAsia"/>
          <w:sz w:val="24"/>
        </w:rPr>
        <w:t>3、“投标报价明细表”以标项为单位填写。此表在不改变格式内容时，可自行制作。</w:t>
      </w:r>
    </w:p>
    <w:p>
      <w:pPr>
        <w:spacing w:line="360" w:lineRule="auto"/>
        <w:ind w:firstLine="480" w:firstLineChars="200"/>
        <w:rPr>
          <w:sz w:val="24"/>
        </w:rPr>
      </w:pPr>
      <w:r>
        <w:rPr>
          <w:rFonts w:hint="eastAsia"/>
          <w:sz w:val="24"/>
        </w:rPr>
        <w:t>4、“投标报价明细表”所填内容按招标文件采购需求中招标一览表内容为准。漏报的视同已包含在投标总价内。有重大缺项的将作无效标处理。</w:t>
      </w:r>
    </w:p>
    <w:p>
      <w:pPr>
        <w:spacing w:line="360" w:lineRule="auto"/>
        <w:ind w:firstLine="480" w:firstLineChars="200"/>
        <w:rPr>
          <w:sz w:val="24"/>
        </w:rPr>
      </w:pPr>
    </w:p>
    <w:p>
      <w:pPr>
        <w:spacing w:line="360" w:lineRule="auto"/>
        <w:ind w:firstLine="504" w:firstLineChars="210"/>
        <w:rPr>
          <w:sz w:val="24"/>
        </w:rPr>
      </w:pPr>
      <w:r>
        <w:rPr>
          <w:rFonts w:hint="eastAsia"/>
          <w:sz w:val="24"/>
        </w:rPr>
        <w:t>投标人（加盖公章）：</w:t>
      </w:r>
    </w:p>
    <w:p>
      <w:pPr>
        <w:spacing w:line="360" w:lineRule="auto"/>
        <w:ind w:firstLine="504" w:firstLineChars="210"/>
        <w:rPr>
          <w:sz w:val="24"/>
        </w:rPr>
      </w:pPr>
    </w:p>
    <w:p>
      <w:pPr>
        <w:spacing w:line="360" w:lineRule="auto"/>
        <w:ind w:firstLine="480" w:firstLineChars="200"/>
        <w:rPr>
          <w:sz w:val="24"/>
        </w:rPr>
      </w:pPr>
    </w:p>
    <w:p>
      <w:pPr>
        <w:spacing w:line="360" w:lineRule="auto"/>
        <w:ind w:firstLine="480" w:firstLineChars="200"/>
        <w:rPr>
          <w:sz w:val="24"/>
        </w:rPr>
      </w:pPr>
      <w:r>
        <w:rPr>
          <w:rFonts w:hint="eastAsia"/>
          <w:sz w:val="24"/>
        </w:rPr>
        <w:t>投标人代表（签名）：</w:t>
      </w:r>
    </w:p>
    <w:p>
      <w:pPr>
        <w:spacing w:line="360" w:lineRule="auto"/>
        <w:ind w:firstLine="480" w:firstLineChars="200"/>
        <w:rPr>
          <w:sz w:val="24"/>
        </w:rPr>
      </w:pPr>
      <w:r>
        <w:rPr>
          <w:rFonts w:hint="eastAsia"/>
          <w:sz w:val="24"/>
        </w:rPr>
        <w:t xml:space="preserve">                                    日期：  年   月   日</w:t>
      </w:r>
    </w:p>
    <w:p>
      <w:pPr>
        <w:spacing w:line="360" w:lineRule="auto"/>
        <w:ind w:firstLine="480" w:firstLineChars="200"/>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r>
        <w:rPr>
          <w:rFonts w:hint="eastAsia"/>
          <w:sz w:val="24"/>
        </w:rPr>
        <w:t>三、授权委托书</w:t>
      </w:r>
    </w:p>
    <w:p>
      <w:pPr>
        <w:spacing w:line="360" w:lineRule="auto"/>
        <w:jc w:val="center"/>
        <w:rPr>
          <w:sz w:val="24"/>
        </w:rPr>
      </w:pPr>
    </w:p>
    <w:p>
      <w:pPr>
        <w:spacing w:line="360" w:lineRule="auto"/>
        <w:ind w:firstLine="480" w:firstLineChars="200"/>
        <w:rPr>
          <w:sz w:val="24"/>
        </w:rPr>
      </w:pPr>
      <w:r>
        <w:rPr>
          <w:rFonts w:hint="eastAsia"/>
          <w:sz w:val="24"/>
        </w:rPr>
        <w:t>本授权委托书声明：我</w:t>
      </w:r>
      <w:r>
        <w:rPr>
          <w:rFonts w:hint="eastAsia"/>
          <w:sz w:val="24"/>
          <w:u w:val="single"/>
        </w:rPr>
        <w:t xml:space="preserve"> （姓名）  </w:t>
      </w:r>
      <w:r>
        <w:rPr>
          <w:rFonts w:hint="eastAsia"/>
          <w:sz w:val="24"/>
        </w:rPr>
        <w:t>系</w:t>
      </w:r>
      <w:r>
        <w:rPr>
          <w:rFonts w:hint="eastAsia"/>
          <w:sz w:val="24"/>
          <w:u w:val="single"/>
        </w:rPr>
        <w:t xml:space="preserve"> （投标人名称）              </w:t>
      </w:r>
      <w:r>
        <w:rPr>
          <w:rFonts w:hint="eastAsia"/>
          <w:sz w:val="24"/>
        </w:rPr>
        <w:t>法定代表人（负责人），现授权委托</w:t>
      </w:r>
      <w:r>
        <w:rPr>
          <w:rFonts w:hint="eastAsia"/>
          <w:sz w:val="24"/>
          <w:u w:val="single"/>
        </w:rPr>
        <w:t xml:space="preserve">（姓名）     </w:t>
      </w:r>
      <w:r>
        <w:rPr>
          <w:rFonts w:hint="eastAsia"/>
          <w:sz w:val="24"/>
        </w:rPr>
        <w:t xml:space="preserve">为我方投标人代表，以我方名义参加                                                                                         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 xml:space="preserve">项目的政府采购活动，并代表我方全权办理针对上述项目投标过程中的一切事宜。我方对投标人代表的签名事项负全部责任。                                              </w:t>
      </w:r>
    </w:p>
    <w:p>
      <w:pPr>
        <w:spacing w:line="360" w:lineRule="auto"/>
        <w:ind w:firstLine="480" w:firstLineChars="200"/>
        <w:rPr>
          <w:sz w:val="24"/>
        </w:rPr>
      </w:pPr>
      <w:r>
        <w:rPr>
          <w:rFonts w:hint="eastAsia"/>
          <w:sz w:val="24"/>
        </w:rPr>
        <w:t>在撤销授权的书面通知以前，本授权书一直有效。投标人代表在授权书有效期内签署的所有文件不因授权的撤销而失效。投标人代表无转委托权。</w:t>
      </w:r>
    </w:p>
    <w:p>
      <w:pPr>
        <w:spacing w:line="360" w:lineRule="auto"/>
        <w:ind w:firstLine="600" w:firstLineChars="250"/>
        <w:rPr>
          <w:sz w:val="24"/>
        </w:rPr>
      </w:pPr>
      <w:r>
        <w:rPr>
          <w:rFonts w:hint="eastAsia"/>
          <w:sz w:val="24"/>
        </w:rPr>
        <w:t>特此委托。</w:t>
      </w:r>
    </w:p>
    <w:p>
      <w:pPr>
        <w:spacing w:line="360" w:lineRule="auto"/>
        <w:ind w:firstLine="480" w:firstLineChars="200"/>
        <w:rPr>
          <w:sz w:val="24"/>
        </w:rPr>
      </w:pPr>
    </w:p>
    <w:p>
      <w:pPr>
        <w:spacing w:line="360" w:lineRule="auto"/>
        <w:ind w:firstLine="480" w:firstLineChars="200"/>
        <w:rPr>
          <w:sz w:val="24"/>
        </w:rPr>
      </w:pPr>
      <w:r>
        <w:rPr>
          <w:rFonts w:hint="eastAsia"/>
          <w:sz w:val="24"/>
        </w:rPr>
        <w:t>法定代表人（负责人）（签名）：            投标人代表（签名）：</w:t>
      </w:r>
    </w:p>
    <w:p>
      <w:pPr>
        <w:spacing w:line="360" w:lineRule="auto"/>
        <w:ind w:firstLine="480" w:firstLineChars="200"/>
        <w:rPr>
          <w:sz w:val="24"/>
        </w:rPr>
      </w:pPr>
    </w:p>
    <w:p>
      <w:pPr>
        <w:spacing w:line="360" w:lineRule="auto"/>
        <w:ind w:firstLine="480" w:firstLineChars="200"/>
        <w:rPr>
          <w:sz w:val="24"/>
        </w:rPr>
      </w:pPr>
      <w:r>
        <w:rPr>
          <w:rFonts w:hint="eastAsia"/>
          <w:sz w:val="24"/>
        </w:rPr>
        <w:t>职务：                                     职务：</w:t>
      </w:r>
    </w:p>
    <w:p>
      <w:pPr>
        <w:spacing w:line="360" w:lineRule="auto"/>
        <w:ind w:firstLine="480" w:firstLineChars="200"/>
        <w:rPr>
          <w:sz w:val="24"/>
        </w:rPr>
      </w:pPr>
    </w:p>
    <w:p>
      <w:pPr>
        <w:spacing w:line="360" w:lineRule="auto"/>
        <w:ind w:firstLine="480" w:firstLineChars="200"/>
        <w:rPr>
          <w:sz w:val="24"/>
        </w:rPr>
      </w:pPr>
      <w:r>
        <w:rPr>
          <w:rFonts w:hint="eastAsia"/>
          <w:sz w:val="24"/>
        </w:rPr>
        <w:t>身份证号码：                               身份证号码：</w:t>
      </w:r>
    </w:p>
    <w:p>
      <w:pPr>
        <w:spacing w:line="360" w:lineRule="auto"/>
        <w:ind w:firstLine="480" w:firstLineChars="200"/>
        <w:rPr>
          <w:sz w:val="24"/>
        </w:rPr>
      </w:pPr>
      <w:r>
        <w:rPr>
          <w:rFonts w:hint="eastAsia"/>
          <w:sz w:val="24"/>
        </w:rPr>
        <w:t xml:space="preserve">                                           联系电话：</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3960" w:firstLineChars="1650"/>
        <w:rPr>
          <w:sz w:val="24"/>
        </w:rPr>
      </w:pPr>
      <w:r>
        <w:rPr>
          <w:rFonts w:hint="eastAsia"/>
          <w:sz w:val="24"/>
        </w:rPr>
        <w:t xml:space="preserve">投标人（加盖公章）： </w:t>
      </w:r>
    </w:p>
    <w:p>
      <w:pPr>
        <w:spacing w:line="360" w:lineRule="auto"/>
        <w:ind w:firstLine="4500" w:firstLineChars="1875"/>
        <w:rPr>
          <w:sz w:val="24"/>
        </w:rPr>
      </w:pPr>
    </w:p>
    <w:p>
      <w:pPr>
        <w:spacing w:line="360" w:lineRule="auto"/>
        <w:ind w:firstLine="4320" w:firstLineChars="1800"/>
        <w:rPr>
          <w:sz w:val="24"/>
        </w:rPr>
      </w:pPr>
    </w:p>
    <w:p>
      <w:pPr>
        <w:spacing w:line="360" w:lineRule="auto"/>
        <w:ind w:firstLine="4080" w:firstLineChars="1700"/>
        <w:rPr>
          <w:sz w:val="24"/>
        </w:rPr>
      </w:pPr>
      <w:r>
        <w:rPr>
          <w:rFonts w:hint="eastAsia"/>
          <w:sz w:val="24"/>
        </w:rPr>
        <w:t>授权委托日期：   年   月   日</w:t>
      </w: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r>
        <w:rPr>
          <w:rFonts w:hint="eastAsia"/>
          <w:sz w:val="24"/>
        </w:rPr>
        <w:t>四、诚信承诺书</w:t>
      </w:r>
    </w:p>
    <w:p>
      <w:pPr>
        <w:spacing w:line="360" w:lineRule="auto"/>
        <w:jc w:val="center"/>
        <w:rPr>
          <w:sz w:val="24"/>
        </w:rPr>
      </w:pPr>
    </w:p>
    <w:p>
      <w:pPr>
        <w:spacing w:line="360" w:lineRule="auto"/>
        <w:rPr>
          <w:sz w:val="24"/>
        </w:rPr>
      </w:pPr>
      <w:r>
        <w:rPr>
          <w:rFonts w:hint="eastAsia"/>
          <w:sz w:val="24"/>
          <w:u w:val="single"/>
        </w:rPr>
        <w:t xml:space="preserve">（采购人或招标组织机构） </w:t>
      </w:r>
      <w:r>
        <w:rPr>
          <w:rFonts w:hint="eastAsia"/>
          <w:sz w:val="24"/>
        </w:rPr>
        <w:t>：</w:t>
      </w:r>
    </w:p>
    <w:p>
      <w:pPr>
        <w:spacing w:line="360" w:lineRule="auto"/>
        <w:ind w:firstLine="480" w:firstLineChars="200"/>
        <w:rPr>
          <w:sz w:val="24"/>
        </w:rPr>
      </w:pPr>
      <w:r>
        <w:rPr>
          <w:rFonts w:hint="eastAsia"/>
          <w:sz w:val="24"/>
        </w:rPr>
        <w:t>我方在参加贵单位的XZCG   -GK-＿＿＿＿＿＿＿政府采购项目的招投标活动中，郑重承诺如下：</w:t>
      </w:r>
    </w:p>
    <w:p>
      <w:pPr>
        <w:spacing w:line="360" w:lineRule="auto"/>
        <w:ind w:firstLine="480" w:firstLineChars="200"/>
        <w:rPr>
          <w:sz w:val="24"/>
        </w:rPr>
      </w:pPr>
      <w:r>
        <w:rPr>
          <w:rFonts w:hint="eastAsia"/>
          <w:sz w:val="24"/>
        </w:rPr>
        <w:t>1、我方申报的所有资料都是真实、准确、完整的；</w:t>
      </w:r>
    </w:p>
    <w:p>
      <w:pPr>
        <w:spacing w:line="360" w:lineRule="auto"/>
        <w:ind w:firstLine="480" w:firstLineChars="200"/>
        <w:rPr>
          <w:sz w:val="24"/>
        </w:rPr>
      </w:pPr>
      <w:r>
        <w:rPr>
          <w:rFonts w:hint="eastAsia"/>
          <w:sz w:val="24"/>
        </w:rPr>
        <w:t>2、我方无资质挂靠情形，保证不参与串标、围标及抬标；</w:t>
      </w:r>
    </w:p>
    <w:p>
      <w:pPr>
        <w:spacing w:line="360" w:lineRule="auto"/>
        <w:ind w:firstLine="480" w:firstLineChars="200"/>
        <w:rPr>
          <w:sz w:val="24"/>
        </w:rPr>
      </w:pPr>
      <w:r>
        <w:rPr>
          <w:rFonts w:hint="eastAsia"/>
          <w:sz w:val="24"/>
        </w:rPr>
        <w:t>3、我方未处于被各级行政主管部门做出停止市场行为处罚的期限内；</w:t>
      </w:r>
    </w:p>
    <w:p>
      <w:pPr>
        <w:spacing w:line="360" w:lineRule="auto"/>
        <w:ind w:firstLine="480" w:firstLineChars="200"/>
        <w:rPr>
          <w:sz w:val="24"/>
        </w:rPr>
      </w:pPr>
      <w:r>
        <w:rPr>
          <w:rFonts w:hint="eastAsia"/>
          <w:sz w:val="24"/>
        </w:rPr>
        <w:t>4、我方参加本项目政府采购活动前3年内在经营活动中没有重大违法记录；</w:t>
      </w:r>
    </w:p>
    <w:p>
      <w:pPr>
        <w:spacing w:line="360" w:lineRule="auto"/>
        <w:ind w:firstLine="480" w:firstLineChars="200"/>
        <w:rPr>
          <w:sz w:val="24"/>
        </w:rPr>
      </w:pPr>
      <w:r>
        <w:rPr>
          <w:rFonts w:hint="eastAsia"/>
          <w:sz w:val="24"/>
        </w:rPr>
        <w:t>5、若我方中标，将严格按照规定及时与采购人签订合同；</w:t>
      </w:r>
    </w:p>
    <w:p>
      <w:pPr>
        <w:spacing w:line="360" w:lineRule="auto"/>
        <w:ind w:firstLine="480" w:firstLineChars="200"/>
        <w:rPr>
          <w:sz w:val="24"/>
        </w:rPr>
      </w:pPr>
      <w:r>
        <w:rPr>
          <w:rFonts w:hint="eastAsia"/>
          <w:sz w:val="24"/>
        </w:rPr>
        <w:t>6、若我方中标，将严格按照招标文件要求及投标文件承诺的报价、质量、工期、投标方案、项目负责人等内容组织实施；</w:t>
      </w:r>
    </w:p>
    <w:p>
      <w:pPr>
        <w:spacing w:line="360" w:lineRule="auto"/>
        <w:ind w:firstLine="480" w:firstLineChars="200"/>
        <w:rPr>
          <w:sz w:val="24"/>
        </w:rPr>
      </w:pPr>
      <w:r>
        <w:rPr>
          <w:rFonts w:hint="eastAsia"/>
          <w:sz w:val="24"/>
        </w:rPr>
        <w:t>我方若违反上述承诺，隐瞒、提供虚假资料或不按招标文件要求组织实施或参与串标、抬标及围标等行为，被贵方发现或被他人举报查实，无条件接受采购人、行政监管部门作出的取消投标资格、中标资格、解除合同、拒绝后续政府采购投标、不良行为记录等的处罚。对造成的损失，任何法律和经济责任完全由我方负责。</w:t>
      </w:r>
    </w:p>
    <w:p>
      <w:pPr>
        <w:spacing w:line="360" w:lineRule="auto"/>
        <w:ind w:firstLine="480" w:firstLineChars="200"/>
        <w:rPr>
          <w:sz w:val="24"/>
        </w:rPr>
      </w:pPr>
      <w:r>
        <w:rPr>
          <w:rFonts w:hint="eastAsia"/>
          <w:sz w:val="24"/>
        </w:rPr>
        <w:t>特此承诺。</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r>
        <w:rPr>
          <w:rFonts w:hint="eastAsia"/>
          <w:sz w:val="24"/>
        </w:rPr>
        <w:t>投标人（加盖公章）：＿＿＿＿＿＿＿＿＿＿＿＿＿＿＿</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投标人代表（签名）：＿＿＿＿＿＿＿＿＿＿＿＿      </w:t>
      </w:r>
    </w:p>
    <w:p>
      <w:pPr>
        <w:spacing w:line="360" w:lineRule="auto"/>
        <w:ind w:firstLine="480" w:firstLineChars="200"/>
        <w:rPr>
          <w:sz w:val="24"/>
        </w:rPr>
      </w:pPr>
    </w:p>
    <w:p>
      <w:pPr>
        <w:spacing w:line="360" w:lineRule="auto"/>
        <w:ind w:firstLine="4440" w:firstLineChars="1850"/>
        <w:rPr>
          <w:sz w:val="24"/>
        </w:rPr>
      </w:pPr>
      <w:r>
        <w:rPr>
          <w:rFonts w:hint="eastAsia"/>
          <w:sz w:val="24"/>
        </w:rPr>
        <w:t>日    期：</w:t>
      </w:r>
      <w:r>
        <w:rPr>
          <w:rFonts w:hint="eastAsia"/>
          <w:sz w:val="24"/>
          <w:u w:val="single"/>
        </w:rPr>
        <w:t xml:space="preserve">     </w:t>
      </w:r>
      <w:r>
        <w:rPr>
          <w:rFonts w:hint="eastAsia"/>
          <w:sz w:val="24"/>
        </w:rPr>
        <w:t>年＿＿月＿＿日</w:t>
      </w:r>
    </w:p>
    <w:p>
      <w:pPr>
        <w:spacing w:line="360" w:lineRule="auto"/>
        <w:rPr>
          <w:sz w:val="24"/>
        </w:rPr>
      </w:pPr>
    </w:p>
    <w:p>
      <w:pPr>
        <w:spacing w:line="360" w:lineRule="auto"/>
        <w:ind w:right="360"/>
        <w:jc w:val="center"/>
        <w:rPr>
          <w:sz w:val="24"/>
        </w:rPr>
      </w:pPr>
      <w:r>
        <w:rPr>
          <w:sz w:val="24"/>
        </w:rPr>
        <w:br w:type="page"/>
      </w:r>
      <w:r>
        <w:rPr>
          <w:rFonts w:hint="eastAsia"/>
          <w:sz w:val="24"/>
        </w:rPr>
        <w:t>五、投标人基本情况表</w:t>
      </w:r>
    </w:p>
    <w:tbl>
      <w:tblPr>
        <w:tblStyle w:val="11"/>
        <w:tblW w:w="8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1950"/>
        <w:gridCol w:w="885"/>
        <w:gridCol w:w="1095"/>
        <w:gridCol w:w="90"/>
        <w:gridCol w:w="630"/>
        <w:gridCol w:w="720"/>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投标人名称</w:t>
            </w:r>
          </w:p>
        </w:tc>
        <w:tc>
          <w:tcPr>
            <w:tcW w:w="6171" w:type="dxa"/>
            <w:gridSpan w:val="7"/>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地址</w:t>
            </w:r>
          </w:p>
        </w:tc>
        <w:tc>
          <w:tcPr>
            <w:tcW w:w="6171" w:type="dxa"/>
            <w:gridSpan w:val="7"/>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2370" w:type="dxa"/>
            <w:vAlign w:val="center"/>
          </w:tcPr>
          <w:p>
            <w:pPr>
              <w:jc w:val="center"/>
              <w:rPr>
                <w:sz w:val="24"/>
              </w:rPr>
            </w:pPr>
            <w:r>
              <w:rPr>
                <w:rFonts w:hint="eastAsia"/>
                <w:sz w:val="24"/>
              </w:rPr>
              <w:t>经营范围</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企业类型</w:t>
            </w:r>
          </w:p>
        </w:tc>
        <w:tc>
          <w:tcPr>
            <w:tcW w:w="2241" w:type="dxa"/>
            <w:gridSpan w:val="4"/>
            <w:vAlign w:val="center"/>
          </w:tcPr>
          <w:p>
            <w:pPr>
              <w:jc w:val="center"/>
              <w:rPr>
                <w:sz w:val="24"/>
              </w:rPr>
            </w:pPr>
            <w:r>
              <w:rPr>
                <w:rFonts w:hint="eastAsia"/>
                <w:sz w:val="24"/>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成立时间</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经济性质</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法定代表人</w:t>
            </w:r>
          </w:p>
          <w:p>
            <w:pPr>
              <w:jc w:val="center"/>
              <w:rPr>
                <w:sz w:val="24"/>
              </w:rPr>
            </w:pPr>
            <w:r>
              <w:rPr>
                <w:rFonts w:hint="eastAsia"/>
                <w:sz w:val="24"/>
              </w:rPr>
              <w:t>（负责人）</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联系电话</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Merge w:val="restart"/>
            <w:vAlign w:val="center"/>
          </w:tcPr>
          <w:p>
            <w:pPr>
              <w:jc w:val="center"/>
              <w:rPr>
                <w:sz w:val="24"/>
              </w:rPr>
            </w:pPr>
            <w:r>
              <w:rPr>
                <w:rFonts w:hint="eastAsia"/>
                <w:sz w:val="24"/>
              </w:rPr>
              <w:t>注册资本</w:t>
            </w:r>
          </w:p>
        </w:tc>
        <w:tc>
          <w:tcPr>
            <w:tcW w:w="1950" w:type="dxa"/>
            <w:vMerge w:val="restart"/>
            <w:vAlign w:val="center"/>
          </w:tcPr>
          <w:p>
            <w:pPr>
              <w:jc w:val="center"/>
              <w:rPr>
                <w:sz w:val="24"/>
              </w:rPr>
            </w:pPr>
          </w:p>
        </w:tc>
        <w:tc>
          <w:tcPr>
            <w:tcW w:w="1980" w:type="dxa"/>
            <w:gridSpan w:val="2"/>
            <w:vMerge w:val="restart"/>
            <w:vAlign w:val="center"/>
          </w:tcPr>
          <w:p>
            <w:pPr>
              <w:jc w:val="center"/>
              <w:rPr>
                <w:sz w:val="24"/>
              </w:rPr>
            </w:pPr>
            <w:r>
              <w:rPr>
                <w:rFonts w:hint="eastAsia"/>
                <w:sz w:val="24"/>
              </w:rPr>
              <w:t>技术人员数</w:t>
            </w:r>
          </w:p>
        </w:tc>
        <w:tc>
          <w:tcPr>
            <w:tcW w:w="720" w:type="dxa"/>
            <w:gridSpan w:val="2"/>
            <w:vAlign w:val="center"/>
          </w:tcPr>
          <w:p>
            <w:pPr>
              <w:jc w:val="center"/>
              <w:rPr>
                <w:sz w:val="24"/>
              </w:rPr>
            </w:pPr>
            <w:r>
              <w:rPr>
                <w:rFonts w:hint="eastAsia"/>
                <w:sz w:val="24"/>
              </w:rPr>
              <w:t>高级</w:t>
            </w:r>
          </w:p>
        </w:tc>
        <w:tc>
          <w:tcPr>
            <w:tcW w:w="720" w:type="dxa"/>
            <w:vAlign w:val="center"/>
          </w:tcPr>
          <w:p>
            <w:pPr>
              <w:jc w:val="center"/>
              <w:rPr>
                <w:sz w:val="24"/>
              </w:rPr>
            </w:pPr>
            <w:r>
              <w:rPr>
                <w:rFonts w:hint="eastAsia"/>
                <w:sz w:val="24"/>
              </w:rPr>
              <w:t>中级</w:t>
            </w:r>
          </w:p>
        </w:tc>
        <w:tc>
          <w:tcPr>
            <w:tcW w:w="801" w:type="dxa"/>
            <w:vAlign w:val="center"/>
          </w:tcPr>
          <w:p>
            <w:pPr>
              <w:jc w:val="center"/>
              <w:rPr>
                <w:sz w:val="24"/>
              </w:rPr>
            </w:pPr>
            <w:r>
              <w:rPr>
                <w:rFonts w:hint="eastAsia"/>
                <w:sz w:val="24"/>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Merge w:val="continue"/>
            <w:vAlign w:val="center"/>
          </w:tcPr>
          <w:p>
            <w:pPr>
              <w:jc w:val="center"/>
              <w:rPr>
                <w:sz w:val="24"/>
              </w:rPr>
            </w:pPr>
          </w:p>
        </w:tc>
        <w:tc>
          <w:tcPr>
            <w:tcW w:w="1950" w:type="dxa"/>
            <w:vMerge w:val="continue"/>
            <w:vAlign w:val="center"/>
          </w:tcPr>
          <w:p>
            <w:pPr>
              <w:jc w:val="center"/>
              <w:rPr>
                <w:sz w:val="24"/>
              </w:rPr>
            </w:pPr>
          </w:p>
        </w:tc>
        <w:tc>
          <w:tcPr>
            <w:tcW w:w="1980" w:type="dxa"/>
            <w:gridSpan w:val="2"/>
            <w:vMerge w:val="continue"/>
            <w:vAlign w:val="center"/>
          </w:tcPr>
          <w:p>
            <w:pPr>
              <w:jc w:val="center"/>
              <w:rPr>
                <w:sz w:val="24"/>
              </w:rPr>
            </w:pPr>
          </w:p>
        </w:tc>
        <w:tc>
          <w:tcPr>
            <w:tcW w:w="720" w:type="dxa"/>
            <w:gridSpan w:val="2"/>
            <w:vAlign w:val="center"/>
          </w:tcPr>
          <w:p>
            <w:pPr>
              <w:jc w:val="center"/>
              <w:rPr>
                <w:sz w:val="24"/>
              </w:rPr>
            </w:pPr>
          </w:p>
        </w:tc>
        <w:tc>
          <w:tcPr>
            <w:tcW w:w="720" w:type="dxa"/>
            <w:vAlign w:val="center"/>
          </w:tcPr>
          <w:p>
            <w:pPr>
              <w:jc w:val="center"/>
              <w:rPr>
                <w:sz w:val="24"/>
              </w:rPr>
            </w:pPr>
          </w:p>
        </w:tc>
        <w:tc>
          <w:tcPr>
            <w:tcW w:w="801"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资产总额</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所有者权益</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工商登记号</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税务登记号</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sz w:val="24"/>
              </w:rPr>
            </w:pPr>
            <w:r>
              <w:rPr>
                <w:rFonts w:hint="eastAsia"/>
                <w:sz w:val="24"/>
              </w:rPr>
              <w:t>是否依法纳税</w:t>
            </w:r>
          </w:p>
        </w:tc>
        <w:tc>
          <w:tcPr>
            <w:tcW w:w="1950" w:type="dxa"/>
            <w:vAlign w:val="center"/>
          </w:tcPr>
          <w:p>
            <w:pPr>
              <w:jc w:val="center"/>
              <w:rPr>
                <w:sz w:val="24"/>
              </w:rPr>
            </w:pPr>
          </w:p>
        </w:tc>
        <w:tc>
          <w:tcPr>
            <w:tcW w:w="1980" w:type="dxa"/>
            <w:gridSpan w:val="2"/>
            <w:vAlign w:val="center"/>
          </w:tcPr>
          <w:p>
            <w:pPr>
              <w:jc w:val="center"/>
              <w:rPr>
                <w:sz w:val="24"/>
              </w:rPr>
            </w:pPr>
            <w:r>
              <w:rPr>
                <w:rFonts w:hint="eastAsia"/>
                <w:sz w:val="24"/>
              </w:rPr>
              <w:t>是否参加社保</w:t>
            </w:r>
          </w:p>
        </w:tc>
        <w:tc>
          <w:tcPr>
            <w:tcW w:w="2241" w:type="dxa"/>
            <w:gridSpan w:val="4"/>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5" w:hRule="atLeast"/>
          <w:jc w:val="center"/>
        </w:trPr>
        <w:tc>
          <w:tcPr>
            <w:tcW w:w="2370" w:type="dxa"/>
            <w:vAlign w:val="center"/>
          </w:tcPr>
          <w:p>
            <w:pPr>
              <w:jc w:val="center"/>
              <w:rPr>
                <w:sz w:val="24"/>
              </w:rPr>
            </w:pPr>
            <w:r>
              <w:rPr>
                <w:rFonts w:hint="eastAsia"/>
                <w:sz w:val="24"/>
              </w:rPr>
              <w:t>售后服务机构情况</w:t>
            </w:r>
          </w:p>
        </w:tc>
        <w:tc>
          <w:tcPr>
            <w:tcW w:w="6171" w:type="dxa"/>
            <w:gridSpan w:val="7"/>
            <w:vAlign w:val="center"/>
          </w:tcPr>
          <w:p>
            <w:pPr>
              <w:spacing w:line="360" w:lineRule="auto"/>
              <w:ind w:firstLine="60" w:firstLineChars="25"/>
              <w:rPr>
                <w:sz w:val="24"/>
              </w:rPr>
            </w:pPr>
            <w:r>
              <w:rPr>
                <w:rFonts w:hint="eastAsia"/>
                <w:sz w:val="24"/>
              </w:rPr>
              <w:t>维修中心名称：</w:t>
            </w:r>
          </w:p>
          <w:p>
            <w:pPr>
              <w:spacing w:line="360" w:lineRule="auto"/>
              <w:ind w:firstLine="60" w:firstLineChars="25"/>
              <w:rPr>
                <w:sz w:val="24"/>
              </w:rPr>
            </w:pPr>
            <w:r>
              <w:rPr>
                <w:rFonts w:hint="eastAsia"/>
                <w:sz w:val="24"/>
              </w:rPr>
              <w:t>地址：</w:t>
            </w:r>
          </w:p>
          <w:p>
            <w:pPr>
              <w:spacing w:line="360" w:lineRule="auto"/>
              <w:ind w:firstLine="60" w:firstLineChars="25"/>
              <w:rPr>
                <w:sz w:val="24"/>
              </w:rPr>
            </w:pPr>
            <w:r>
              <w:rPr>
                <w:rFonts w:hint="eastAsia"/>
                <w:sz w:val="24"/>
              </w:rPr>
              <w:t>人员状况：</w:t>
            </w:r>
          </w:p>
          <w:p>
            <w:pPr>
              <w:spacing w:line="360" w:lineRule="auto"/>
              <w:ind w:firstLine="60" w:firstLineChars="25"/>
              <w:rPr>
                <w:sz w:val="24"/>
              </w:rPr>
            </w:pPr>
            <w:r>
              <w:rPr>
                <w:rFonts w:hint="eastAsia"/>
                <w:sz w:val="24"/>
              </w:rPr>
              <w:t>联系方式：</w:t>
            </w:r>
          </w:p>
          <w:p>
            <w:pPr>
              <w:spacing w:line="360" w:lineRule="auto"/>
              <w:ind w:firstLine="60" w:firstLineChars="25"/>
              <w:rPr>
                <w:sz w:val="24"/>
              </w:rPr>
            </w:pPr>
            <w:r>
              <w:rPr>
                <w:rFonts w:hint="eastAsia"/>
                <w:sz w:val="24"/>
              </w:rPr>
              <w:t>（可另附纸说明）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2370" w:type="dxa"/>
            <w:vAlign w:val="center"/>
          </w:tcPr>
          <w:p>
            <w:pPr>
              <w:jc w:val="center"/>
              <w:rPr>
                <w:szCs w:val="21"/>
              </w:rPr>
            </w:pPr>
            <w:r>
              <w:rPr>
                <w:rFonts w:hint="eastAsia"/>
                <w:szCs w:val="21"/>
              </w:rPr>
              <w:t>中标通知书邮寄地址</w:t>
            </w:r>
          </w:p>
        </w:tc>
        <w:tc>
          <w:tcPr>
            <w:tcW w:w="6171" w:type="dxa"/>
            <w:gridSpan w:val="7"/>
            <w:vAlign w:val="center"/>
          </w:tcPr>
          <w:p>
            <w:pPr>
              <w:spacing w:line="360" w:lineRule="auto"/>
              <w:ind w:firstLine="60" w:firstLineChars="2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370" w:type="dxa"/>
            <w:vAlign w:val="center"/>
          </w:tcPr>
          <w:p>
            <w:pPr>
              <w:jc w:val="center"/>
              <w:rPr>
                <w:szCs w:val="21"/>
              </w:rPr>
            </w:pPr>
            <w:r>
              <w:rPr>
                <w:rFonts w:hint="eastAsia"/>
                <w:szCs w:val="21"/>
              </w:rPr>
              <w:t>中标通知书接收人</w:t>
            </w:r>
          </w:p>
        </w:tc>
        <w:tc>
          <w:tcPr>
            <w:tcW w:w="2835" w:type="dxa"/>
            <w:gridSpan w:val="2"/>
            <w:vAlign w:val="center"/>
          </w:tcPr>
          <w:p>
            <w:pPr>
              <w:spacing w:line="360" w:lineRule="auto"/>
              <w:ind w:firstLine="60" w:firstLineChars="25"/>
              <w:rPr>
                <w:sz w:val="24"/>
              </w:rPr>
            </w:pPr>
          </w:p>
        </w:tc>
        <w:tc>
          <w:tcPr>
            <w:tcW w:w="1185" w:type="dxa"/>
            <w:gridSpan w:val="2"/>
            <w:vAlign w:val="center"/>
          </w:tcPr>
          <w:p>
            <w:pPr>
              <w:spacing w:line="360" w:lineRule="auto"/>
              <w:rPr>
                <w:sz w:val="24"/>
              </w:rPr>
            </w:pPr>
            <w:r>
              <w:rPr>
                <w:rFonts w:hint="eastAsia"/>
                <w:sz w:val="24"/>
              </w:rPr>
              <w:t>联系电话</w:t>
            </w:r>
          </w:p>
        </w:tc>
        <w:tc>
          <w:tcPr>
            <w:tcW w:w="2151" w:type="dxa"/>
            <w:gridSpan w:val="3"/>
            <w:vAlign w:val="center"/>
          </w:tcPr>
          <w:p>
            <w:pPr>
              <w:spacing w:line="360" w:lineRule="auto"/>
              <w:ind w:firstLine="60" w:firstLineChars="25"/>
              <w:rPr>
                <w:sz w:val="24"/>
              </w:rPr>
            </w:pPr>
          </w:p>
        </w:tc>
      </w:tr>
    </w:tbl>
    <w:p>
      <w:pPr>
        <w:spacing w:line="360" w:lineRule="auto"/>
        <w:ind w:firstLine="480" w:firstLineChars="200"/>
        <w:rPr>
          <w:sz w:val="24"/>
        </w:rPr>
      </w:pPr>
    </w:p>
    <w:p>
      <w:pPr>
        <w:spacing w:line="360" w:lineRule="auto"/>
        <w:ind w:firstLine="480" w:firstLineChars="200"/>
        <w:rPr>
          <w:sz w:val="24"/>
        </w:rPr>
      </w:pPr>
      <w:r>
        <w:rPr>
          <w:rFonts w:hint="eastAsia"/>
          <w:sz w:val="24"/>
        </w:rPr>
        <w:t xml:space="preserve">                               投标人代表签名：</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                               投标人（加盖公章）：</w:t>
      </w:r>
    </w:p>
    <w:p>
      <w:pPr>
        <w:spacing w:line="360" w:lineRule="auto"/>
        <w:jc w:val="center"/>
        <w:rPr>
          <w:sz w:val="24"/>
        </w:rPr>
      </w:pPr>
    </w:p>
    <w:p>
      <w:pPr>
        <w:spacing w:line="360" w:lineRule="auto"/>
        <w:jc w:val="center"/>
        <w:rPr>
          <w:sz w:val="24"/>
        </w:rPr>
      </w:pPr>
    </w:p>
    <w:p>
      <w:pPr>
        <w:spacing w:line="360" w:lineRule="auto"/>
        <w:jc w:val="center"/>
        <w:rPr>
          <w:sz w:val="24"/>
        </w:rPr>
      </w:pPr>
      <w:r>
        <w:rPr>
          <w:sz w:val="24"/>
        </w:rPr>
        <w:br w:type="page"/>
      </w:r>
      <w:r>
        <w:rPr>
          <w:rFonts w:hint="eastAsia"/>
          <w:sz w:val="24"/>
        </w:rPr>
        <w:t>六、本项目的项目负责人情况表</w:t>
      </w:r>
    </w:p>
    <w:tbl>
      <w:tblPr>
        <w:tblStyle w:val="11"/>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1"/>
        <w:gridCol w:w="1614"/>
        <w:gridCol w:w="5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姓名</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近3年业绩及承担的主要工作情况</w:t>
            </w:r>
          </w:p>
          <w:p>
            <w:pPr>
              <w:jc w:val="center"/>
            </w:pPr>
            <w:r>
              <w:rPr>
                <w:rFonts w:hint="eastAsia"/>
                <w:sz w:val="24"/>
              </w:rPr>
              <w:t>（曾担任项目负责人的项目应列明细）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性别</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7" w:firstLineChars="3"/>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职称</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毕业时间</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所学专业</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学历</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资质证书编号</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其他资质情况</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联系电话</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spacing w:line="360" w:lineRule="auto"/>
        <w:rPr>
          <w:sz w:val="24"/>
        </w:rPr>
      </w:pPr>
      <w:r>
        <w:rPr>
          <w:rFonts w:hint="eastAsia"/>
          <w:sz w:val="24"/>
        </w:rPr>
        <w:t>注：须随表提交相应的证书复印件。</w:t>
      </w:r>
    </w:p>
    <w:p>
      <w:pPr>
        <w:spacing w:line="360" w:lineRule="auto"/>
        <w:jc w:val="center"/>
        <w:rPr>
          <w:sz w:val="24"/>
        </w:rPr>
      </w:pPr>
    </w:p>
    <w:p>
      <w:pPr>
        <w:spacing w:line="360" w:lineRule="auto"/>
        <w:jc w:val="center"/>
        <w:rPr>
          <w:sz w:val="24"/>
        </w:rPr>
      </w:pPr>
      <w:r>
        <w:rPr>
          <w:rFonts w:hint="eastAsia"/>
          <w:sz w:val="24"/>
        </w:rPr>
        <w:t>七、本项目的项目小组人员情况表</w:t>
      </w:r>
    </w:p>
    <w:p>
      <w:pPr>
        <w:spacing w:line="360" w:lineRule="auto"/>
        <w:jc w:val="center"/>
        <w:rPr>
          <w:sz w:val="24"/>
        </w:rPr>
      </w:pPr>
      <w:r>
        <w:rPr>
          <w:rFonts w:hint="eastAsia"/>
          <w:sz w:val="24"/>
        </w:rPr>
        <w:t>（按此格式自制）</w:t>
      </w:r>
    </w:p>
    <w:tbl>
      <w:tblPr>
        <w:tblStyle w:val="11"/>
        <w:tblW w:w="957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73"/>
        <w:gridCol w:w="720"/>
        <w:gridCol w:w="847"/>
        <w:gridCol w:w="720"/>
        <w:gridCol w:w="900"/>
        <w:gridCol w:w="1260"/>
        <w:gridCol w:w="945"/>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540" w:type="dxa"/>
            <w:textDirection w:val="tbRlV"/>
            <w:vAlign w:val="center"/>
          </w:tcPr>
          <w:p>
            <w:pPr>
              <w:jc w:val="center"/>
              <w:rPr>
                <w:sz w:val="24"/>
              </w:rPr>
            </w:pPr>
            <w:r>
              <w:rPr>
                <w:rFonts w:hint="eastAsia"/>
                <w:sz w:val="24"/>
              </w:rPr>
              <w:t>序号</w:t>
            </w:r>
          </w:p>
        </w:tc>
        <w:tc>
          <w:tcPr>
            <w:tcW w:w="720" w:type="dxa"/>
            <w:vAlign w:val="center"/>
          </w:tcPr>
          <w:p>
            <w:pPr>
              <w:jc w:val="center"/>
              <w:rPr>
                <w:sz w:val="24"/>
              </w:rPr>
            </w:pPr>
            <w:r>
              <w:rPr>
                <w:rFonts w:hint="eastAsia"/>
                <w:sz w:val="24"/>
              </w:rPr>
              <w:t>姓名</w:t>
            </w:r>
          </w:p>
        </w:tc>
        <w:tc>
          <w:tcPr>
            <w:tcW w:w="773" w:type="dxa"/>
            <w:vAlign w:val="center"/>
          </w:tcPr>
          <w:p>
            <w:pPr>
              <w:jc w:val="center"/>
              <w:rPr>
                <w:sz w:val="24"/>
              </w:rPr>
            </w:pPr>
            <w:r>
              <w:rPr>
                <w:rFonts w:hint="eastAsia"/>
                <w:sz w:val="24"/>
              </w:rPr>
              <w:t>性别</w:t>
            </w:r>
          </w:p>
        </w:tc>
        <w:tc>
          <w:tcPr>
            <w:tcW w:w="720" w:type="dxa"/>
            <w:vAlign w:val="center"/>
          </w:tcPr>
          <w:p>
            <w:pPr>
              <w:jc w:val="center"/>
              <w:rPr>
                <w:sz w:val="24"/>
              </w:rPr>
            </w:pPr>
            <w:r>
              <w:rPr>
                <w:rFonts w:hint="eastAsia"/>
                <w:sz w:val="24"/>
              </w:rPr>
              <w:t>出生年月</w:t>
            </w:r>
          </w:p>
        </w:tc>
        <w:tc>
          <w:tcPr>
            <w:tcW w:w="847" w:type="dxa"/>
            <w:vAlign w:val="center"/>
          </w:tcPr>
          <w:p>
            <w:pPr>
              <w:jc w:val="center"/>
              <w:rPr>
                <w:sz w:val="24"/>
              </w:rPr>
            </w:pPr>
            <w:r>
              <w:rPr>
                <w:rFonts w:hint="eastAsia"/>
                <w:sz w:val="24"/>
              </w:rPr>
              <w:t>学历</w:t>
            </w:r>
          </w:p>
        </w:tc>
        <w:tc>
          <w:tcPr>
            <w:tcW w:w="720" w:type="dxa"/>
            <w:vAlign w:val="center"/>
          </w:tcPr>
          <w:p>
            <w:pPr>
              <w:jc w:val="center"/>
              <w:rPr>
                <w:sz w:val="24"/>
              </w:rPr>
            </w:pPr>
            <w:r>
              <w:rPr>
                <w:rFonts w:hint="eastAsia"/>
                <w:sz w:val="24"/>
              </w:rPr>
              <w:t>专业</w:t>
            </w:r>
          </w:p>
        </w:tc>
        <w:tc>
          <w:tcPr>
            <w:tcW w:w="900" w:type="dxa"/>
            <w:vAlign w:val="center"/>
          </w:tcPr>
          <w:p>
            <w:pPr>
              <w:jc w:val="center"/>
              <w:rPr>
                <w:sz w:val="24"/>
              </w:rPr>
            </w:pPr>
            <w:r>
              <w:rPr>
                <w:rFonts w:hint="eastAsia"/>
                <w:sz w:val="24"/>
              </w:rPr>
              <w:t>职称</w:t>
            </w:r>
          </w:p>
        </w:tc>
        <w:tc>
          <w:tcPr>
            <w:tcW w:w="1260" w:type="dxa"/>
            <w:vAlign w:val="center"/>
          </w:tcPr>
          <w:p>
            <w:pPr>
              <w:jc w:val="center"/>
              <w:rPr>
                <w:sz w:val="24"/>
              </w:rPr>
            </w:pPr>
            <w:r>
              <w:rPr>
                <w:rFonts w:hint="eastAsia"/>
                <w:sz w:val="24"/>
              </w:rPr>
              <w:t>本项目中的职责</w:t>
            </w:r>
          </w:p>
        </w:tc>
        <w:tc>
          <w:tcPr>
            <w:tcW w:w="945" w:type="dxa"/>
            <w:vAlign w:val="center"/>
          </w:tcPr>
          <w:p>
            <w:pPr>
              <w:jc w:val="center"/>
              <w:rPr>
                <w:sz w:val="24"/>
              </w:rPr>
            </w:pPr>
            <w:r>
              <w:rPr>
                <w:rFonts w:hint="eastAsia"/>
                <w:sz w:val="24"/>
              </w:rPr>
              <w:t>项目经历</w:t>
            </w:r>
          </w:p>
        </w:tc>
        <w:tc>
          <w:tcPr>
            <w:tcW w:w="2145" w:type="dxa"/>
            <w:vAlign w:val="center"/>
          </w:tcPr>
          <w:p>
            <w:pPr>
              <w:jc w:val="center"/>
              <w:rPr>
                <w:sz w:val="24"/>
              </w:rPr>
            </w:pPr>
            <w:r>
              <w:rPr>
                <w:rFonts w:hint="eastAsia"/>
                <w:sz w:val="24"/>
              </w:rPr>
              <w:t>参与本项目的</w:t>
            </w:r>
          </w:p>
          <w:p>
            <w:pPr>
              <w:jc w:val="center"/>
              <w:rPr>
                <w:sz w:val="24"/>
              </w:rPr>
            </w:pPr>
            <w:r>
              <w:rPr>
                <w:rFonts w:hint="eastAsia"/>
                <w:sz w:val="24"/>
              </w:rPr>
              <w:t>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54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945" w:type="dxa"/>
            <w:vAlign w:val="center"/>
          </w:tcPr>
          <w:p>
            <w:pPr>
              <w:spacing w:line="360" w:lineRule="auto"/>
              <w:rPr>
                <w:sz w:val="24"/>
              </w:rPr>
            </w:pPr>
          </w:p>
        </w:tc>
        <w:tc>
          <w:tcPr>
            <w:tcW w:w="2145"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54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945" w:type="dxa"/>
            <w:vAlign w:val="center"/>
          </w:tcPr>
          <w:p>
            <w:pPr>
              <w:spacing w:line="360" w:lineRule="auto"/>
              <w:rPr>
                <w:sz w:val="24"/>
              </w:rPr>
            </w:pPr>
          </w:p>
        </w:tc>
        <w:tc>
          <w:tcPr>
            <w:tcW w:w="2145"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54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945" w:type="dxa"/>
            <w:vAlign w:val="center"/>
          </w:tcPr>
          <w:p>
            <w:pPr>
              <w:spacing w:line="360" w:lineRule="auto"/>
              <w:rPr>
                <w:sz w:val="24"/>
              </w:rPr>
            </w:pPr>
          </w:p>
        </w:tc>
        <w:tc>
          <w:tcPr>
            <w:tcW w:w="2145"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54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945" w:type="dxa"/>
            <w:vAlign w:val="center"/>
          </w:tcPr>
          <w:p>
            <w:pPr>
              <w:spacing w:line="360" w:lineRule="auto"/>
              <w:rPr>
                <w:sz w:val="24"/>
              </w:rPr>
            </w:pPr>
          </w:p>
        </w:tc>
        <w:tc>
          <w:tcPr>
            <w:tcW w:w="2145" w:type="dxa"/>
            <w:vAlign w:val="center"/>
          </w:tcPr>
          <w:p>
            <w:pPr>
              <w:spacing w:line="360" w:lineRule="auto"/>
              <w:rPr>
                <w:sz w:val="24"/>
              </w:rPr>
            </w:pPr>
          </w:p>
        </w:tc>
      </w:tr>
    </w:tbl>
    <w:p>
      <w:pPr>
        <w:spacing w:line="360" w:lineRule="auto"/>
        <w:ind w:firstLine="480" w:firstLineChars="200"/>
        <w:rPr>
          <w:sz w:val="24"/>
        </w:rPr>
      </w:pPr>
    </w:p>
    <w:p>
      <w:pPr>
        <w:spacing w:line="360" w:lineRule="auto"/>
        <w:ind w:firstLine="480" w:firstLineChars="200"/>
        <w:rPr>
          <w:sz w:val="24"/>
        </w:rPr>
      </w:pPr>
      <w:r>
        <w:rPr>
          <w:rFonts w:hint="eastAsia"/>
          <w:sz w:val="24"/>
        </w:rPr>
        <w:t>投标人代表（签名）：                           投标人（加盖公章）：</w:t>
      </w:r>
    </w:p>
    <w:p>
      <w:pPr>
        <w:spacing w:line="360" w:lineRule="auto"/>
        <w:ind w:firstLine="480" w:firstLineChars="200"/>
        <w:rPr>
          <w:sz w:val="24"/>
        </w:rPr>
      </w:pPr>
      <w:r>
        <w:rPr>
          <w:rFonts w:hint="eastAsia"/>
          <w:sz w:val="24"/>
        </w:rPr>
        <w:t xml:space="preserve">                                     </w:t>
      </w:r>
    </w:p>
    <w:p>
      <w:pPr>
        <w:spacing w:line="360" w:lineRule="auto"/>
        <w:ind w:firstLine="480" w:firstLineChars="200"/>
        <w:rPr>
          <w:sz w:val="24"/>
        </w:rPr>
      </w:pPr>
      <w:r>
        <w:rPr>
          <w:rFonts w:hint="eastAsia"/>
          <w:sz w:val="24"/>
        </w:rPr>
        <w:t xml:space="preserve">                                             日期：20  年   月   日</w:t>
      </w:r>
    </w:p>
    <w:p>
      <w:pPr>
        <w:spacing w:line="360" w:lineRule="auto"/>
        <w:jc w:val="center"/>
        <w:rPr>
          <w:sz w:val="24"/>
        </w:rPr>
      </w:pPr>
      <w:r>
        <w:rPr>
          <w:sz w:val="24"/>
        </w:rPr>
        <w:br w:type="page"/>
      </w:r>
      <w:r>
        <w:rPr>
          <w:rFonts w:hint="eastAsia"/>
          <w:sz w:val="24"/>
        </w:rPr>
        <w:t>八、商务偏离表</w:t>
      </w:r>
    </w:p>
    <w:tbl>
      <w:tblPr>
        <w:tblStyle w:val="11"/>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248"/>
        <w:gridCol w:w="2516"/>
        <w:gridCol w:w="1780"/>
        <w:gridCol w:w="1571"/>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680" w:type="dxa"/>
            <w:vAlign w:val="center"/>
          </w:tcPr>
          <w:p>
            <w:pPr>
              <w:jc w:val="center"/>
              <w:rPr>
                <w:sz w:val="24"/>
              </w:rPr>
            </w:pPr>
            <w:r>
              <w:rPr>
                <w:rFonts w:hint="eastAsia"/>
                <w:sz w:val="24"/>
              </w:rPr>
              <w:t>序号</w:t>
            </w:r>
          </w:p>
        </w:tc>
        <w:tc>
          <w:tcPr>
            <w:tcW w:w="1248" w:type="dxa"/>
            <w:vAlign w:val="center"/>
          </w:tcPr>
          <w:p>
            <w:pPr>
              <w:jc w:val="center"/>
              <w:rPr>
                <w:sz w:val="24"/>
              </w:rPr>
            </w:pPr>
            <w:r>
              <w:rPr>
                <w:rFonts w:hint="eastAsia"/>
                <w:sz w:val="24"/>
              </w:rPr>
              <w:t>内容</w:t>
            </w:r>
          </w:p>
        </w:tc>
        <w:tc>
          <w:tcPr>
            <w:tcW w:w="2516" w:type="dxa"/>
            <w:vAlign w:val="center"/>
          </w:tcPr>
          <w:p>
            <w:pPr>
              <w:jc w:val="center"/>
              <w:rPr>
                <w:sz w:val="24"/>
              </w:rPr>
            </w:pPr>
            <w:r>
              <w:rPr>
                <w:rFonts w:hint="eastAsia"/>
                <w:sz w:val="24"/>
              </w:rPr>
              <w:t>采购文件商务要求</w:t>
            </w:r>
          </w:p>
        </w:tc>
        <w:tc>
          <w:tcPr>
            <w:tcW w:w="1780" w:type="dxa"/>
            <w:vAlign w:val="center"/>
          </w:tcPr>
          <w:p>
            <w:pPr>
              <w:jc w:val="center"/>
              <w:rPr>
                <w:sz w:val="24"/>
              </w:rPr>
            </w:pPr>
            <w:r>
              <w:rPr>
                <w:rFonts w:hint="eastAsia"/>
                <w:sz w:val="24"/>
              </w:rPr>
              <w:t>投标文件</w:t>
            </w:r>
          </w:p>
          <w:p>
            <w:pPr>
              <w:jc w:val="center"/>
              <w:rPr>
                <w:sz w:val="24"/>
              </w:rPr>
            </w:pPr>
            <w:r>
              <w:rPr>
                <w:rFonts w:hint="eastAsia"/>
                <w:sz w:val="24"/>
              </w:rPr>
              <w:t>商务资料</w:t>
            </w:r>
          </w:p>
        </w:tc>
        <w:tc>
          <w:tcPr>
            <w:tcW w:w="1571" w:type="dxa"/>
            <w:vAlign w:val="center"/>
          </w:tcPr>
          <w:p>
            <w:pPr>
              <w:jc w:val="center"/>
              <w:rPr>
                <w:sz w:val="24"/>
              </w:rPr>
            </w:pPr>
            <w:r>
              <w:rPr>
                <w:rFonts w:hint="eastAsia"/>
                <w:sz w:val="24"/>
              </w:rPr>
              <w:t>偏离</w:t>
            </w:r>
            <w:r>
              <w:rPr>
                <w:rFonts w:hint="eastAsia"/>
                <w:color w:val="FF0000"/>
                <w:sz w:val="24"/>
              </w:rPr>
              <w:t>说明</w:t>
            </w:r>
          </w:p>
        </w:tc>
        <w:tc>
          <w:tcPr>
            <w:tcW w:w="1571"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80" w:type="dxa"/>
            <w:vAlign w:val="center"/>
          </w:tcPr>
          <w:p>
            <w:pPr>
              <w:spacing w:line="360" w:lineRule="auto"/>
              <w:jc w:val="center"/>
              <w:rPr>
                <w:sz w:val="24"/>
              </w:rPr>
            </w:pPr>
            <w:r>
              <w:rPr>
                <w:rFonts w:hint="eastAsia"/>
                <w:sz w:val="24"/>
              </w:rPr>
              <w:t>1</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80" w:type="dxa"/>
            <w:vAlign w:val="center"/>
          </w:tcPr>
          <w:p>
            <w:pPr>
              <w:spacing w:line="360" w:lineRule="auto"/>
              <w:jc w:val="center"/>
              <w:rPr>
                <w:sz w:val="24"/>
              </w:rPr>
            </w:pPr>
            <w:r>
              <w:rPr>
                <w:rFonts w:hint="eastAsia"/>
                <w:sz w:val="24"/>
              </w:rPr>
              <w:t>2</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680" w:type="dxa"/>
            <w:vAlign w:val="center"/>
          </w:tcPr>
          <w:p>
            <w:pPr>
              <w:spacing w:line="360" w:lineRule="auto"/>
              <w:jc w:val="center"/>
              <w:rPr>
                <w:sz w:val="24"/>
              </w:rPr>
            </w:pPr>
            <w:r>
              <w:rPr>
                <w:rFonts w:hint="eastAsia"/>
                <w:sz w:val="24"/>
              </w:rPr>
              <w:t>..</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bl>
    <w:p>
      <w:pPr>
        <w:spacing w:line="360" w:lineRule="auto"/>
        <w:ind w:firstLine="600" w:firstLineChars="250"/>
        <w:rPr>
          <w:sz w:val="24"/>
        </w:rPr>
      </w:pPr>
      <w:r>
        <w:rPr>
          <w:rFonts w:hint="eastAsia"/>
          <w:sz w:val="24"/>
        </w:rPr>
        <w:t>投标人代表（签名）：                  投标人（加盖公章）：</w:t>
      </w:r>
    </w:p>
    <w:p>
      <w:pPr>
        <w:pStyle w:val="7"/>
        <w:rPr>
          <w:rFonts w:ascii="宋体" w:hAnsi="宋体"/>
          <w:color w:val="FF0000"/>
          <w:sz w:val="24"/>
        </w:rPr>
      </w:pPr>
      <w:r>
        <w:rPr>
          <w:rFonts w:hint="eastAsia"/>
        </w:rPr>
        <w:t>注：商务偏离表必须填写相关内容。</w:t>
      </w:r>
      <w:r>
        <w:rPr>
          <w:rFonts w:hint="eastAsia"/>
          <w:color w:val="FF0000"/>
        </w:rPr>
        <w:t>若无偏离，请在偏离说明中填“无”；若有正、负偏离的请在表项中列明。</w:t>
      </w:r>
    </w:p>
    <w:p>
      <w:pPr>
        <w:spacing w:line="360" w:lineRule="auto"/>
        <w:ind w:left="5062" w:leftChars="228" w:hanging="4560" w:hangingChars="1900"/>
        <w:rPr>
          <w:sz w:val="24"/>
        </w:rPr>
      </w:pPr>
      <w:r>
        <w:rPr>
          <w:rFonts w:hint="eastAsia"/>
          <w:sz w:val="24"/>
        </w:rPr>
        <w:t xml:space="preserve">                                                 日期：20  年   月   日</w:t>
      </w:r>
    </w:p>
    <w:p>
      <w:pPr>
        <w:spacing w:line="360" w:lineRule="auto"/>
        <w:jc w:val="center"/>
        <w:rPr>
          <w:sz w:val="24"/>
        </w:rPr>
      </w:pPr>
    </w:p>
    <w:p>
      <w:pPr>
        <w:spacing w:line="360" w:lineRule="auto"/>
        <w:jc w:val="center"/>
        <w:rPr>
          <w:sz w:val="24"/>
        </w:rPr>
      </w:pPr>
      <w:r>
        <w:rPr>
          <w:rFonts w:hint="eastAsia"/>
          <w:sz w:val="24"/>
        </w:rPr>
        <w:t>九、相关项目实施业绩一览表</w:t>
      </w:r>
    </w:p>
    <w:tbl>
      <w:tblPr>
        <w:tblStyle w:val="11"/>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260"/>
        <w:gridCol w:w="2340"/>
        <w:gridCol w:w="1800"/>
        <w:gridCol w:w="1260"/>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286" w:type="dxa"/>
            <w:tcBorders>
              <w:top w:val="single" w:color="auto" w:sz="4" w:space="0"/>
              <w:left w:val="single" w:color="auto" w:sz="4" w:space="0"/>
              <w:right w:val="single" w:color="auto" w:sz="4" w:space="0"/>
            </w:tcBorders>
            <w:vAlign w:val="center"/>
          </w:tcPr>
          <w:p>
            <w:pPr>
              <w:jc w:val="center"/>
              <w:rPr>
                <w:sz w:val="24"/>
              </w:rPr>
            </w:pPr>
            <w:r>
              <w:rPr>
                <w:rFonts w:hint="eastAsia"/>
                <w:sz w:val="24"/>
              </w:rPr>
              <w:t>采购单位</w:t>
            </w:r>
          </w:p>
        </w:tc>
        <w:tc>
          <w:tcPr>
            <w:tcW w:w="1260" w:type="dxa"/>
            <w:tcBorders>
              <w:top w:val="single" w:color="auto" w:sz="4" w:space="0"/>
              <w:left w:val="single" w:color="auto" w:sz="4" w:space="0"/>
              <w:right w:val="single" w:color="auto" w:sz="4" w:space="0"/>
            </w:tcBorders>
            <w:vAlign w:val="center"/>
          </w:tcPr>
          <w:p>
            <w:pPr>
              <w:jc w:val="center"/>
              <w:rPr>
                <w:sz w:val="24"/>
              </w:rPr>
            </w:pPr>
            <w:r>
              <w:rPr>
                <w:rFonts w:hint="eastAsia"/>
                <w:sz w:val="24"/>
              </w:rPr>
              <w:t>项目名称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项目简要描述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项目金额</w:t>
            </w:r>
          </w:p>
          <w:p>
            <w:pPr>
              <w:jc w:val="center"/>
              <w:rPr>
                <w:sz w:val="24"/>
              </w:rPr>
            </w:pPr>
            <w:r>
              <w:rPr>
                <w:rFonts w:hint="eastAsia"/>
                <w:sz w:val="24"/>
              </w:rPr>
              <w:t>（万元）</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实施时间</w:t>
            </w:r>
          </w:p>
        </w:tc>
        <w:tc>
          <w:tcPr>
            <w:tcW w:w="166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采购单位</w:t>
            </w:r>
          </w:p>
          <w:p>
            <w:pPr>
              <w:jc w:val="center"/>
              <w:rPr>
                <w:sz w:val="24"/>
              </w:rPr>
            </w:pPr>
            <w:r>
              <w:rPr>
                <w:rFonts w:hint="eastAsia"/>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spacing w:line="360" w:lineRule="auto"/>
        <w:rPr>
          <w:sz w:val="24"/>
        </w:rPr>
      </w:pPr>
    </w:p>
    <w:p>
      <w:pPr>
        <w:spacing w:line="360" w:lineRule="auto"/>
        <w:rPr>
          <w:sz w:val="24"/>
        </w:rPr>
      </w:pPr>
      <w:r>
        <w:rPr>
          <w:rFonts w:hint="eastAsia"/>
          <w:sz w:val="24"/>
        </w:rPr>
        <w:t>投标人代表（签名）：                          投标人（加盖公章）：</w:t>
      </w:r>
    </w:p>
    <w:p>
      <w:pPr>
        <w:spacing w:line="360" w:lineRule="auto"/>
        <w:ind w:left="5182" w:leftChars="228" w:hanging="4680" w:hangingChars="1950"/>
        <w:rPr>
          <w:sz w:val="24"/>
        </w:rPr>
      </w:pPr>
      <w:r>
        <w:rPr>
          <w:rFonts w:hint="eastAsia"/>
          <w:sz w:val="24"/>
        </w:rPr>
        <w:t xml:space="preserve">                                                                        日期：20  年   月   日</w:t>
      </w:r>
    </w:p>
    <w:p>
      <w:pPr>
        <w:spacing w:line="360" w:lineRule="auto"/>
        <w:jc w:val="center"/>
        <w:rPr>
          <w:sz w:val="24"/>
        </w:rPr>
      </w:pPr>
      <w:r>
        <w:rPr>
          <w:rFonts w:hint="eastAsia"/>
          <w:sz w:val="24"/>
        </w:rPr>
        <w:t>十、技术规范偏离表</w:t>
      </w:r>
    </w:p>
    <w:tbl>
      <w:tblPr>
        <w:tblStyle w:val="11"/>
        <w:tblW w:w="93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221"/>
        <w:gridCol w:w="662"/>
        <w:gridCol w:w="2154"/>
        <w:gridCol w:w="1802"/>
        <w:gridCol w:w="1428"/>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670" w:type="dxa"/>
            <w:vAlign w:val="center"/>
          </w:tcPr>
          <w:p>
            <w:pPr>
              <w:jc w:val="center"/>
              <w:rPr>
                <w:sz w:val="24"/>
              </w:rPr>
            </w:pPr>
            <w:r>
              <w:rPr>
                <w:rFonts w:hint="eastAsia"/>
                <w:sz w:val="24"/>
              </w:rPr>
              <w:t>序号</w:t>
            </w:r>
          </w:p>
        </w:tc>
        <w:tc>
          <w:tcPr>
            <w:tcW w:w="1221" w:type="dxa"/>
            <w:vAlign w:val="center"/>
          </w:tcPr>
          <w:p>
            <w:pPr>
              <w:jc w:val="center"/>
              <w:rPr>
                <w:sz w:val="24"/>
              </w:rPr>
            </w:pPr>
            <w:r>
              <w:rPr>
                <w:rFonts w:hint="eastAsia"/>
                <w:sz w:val="24"/>
              </w:rPr>
              <w:t>货物名称</w:t>
            </w:r>
          </w:p>
        </w:tc>
        <w:tc>
          <w:tcPr>
            <w:tcW w:w="662" w:type="dxa"/>
            <w:vAlign w:val="center"/>
          </w:tcPr>
          <w:p>
            <w:pPr>
              <w:jc w:val="center"/>
              <w:rPr>
                <w:sz w:val="24"/>
              </w:rPr>
            </w:pPr>
            <w:r>
              <w:rPr>
                <w:rFonts w:hint="eastAsia"/>
                <w:sz w:val="24"/>
              </w:rPr>
              <w:t>数量</w:t>
            </w:r>
          </w:p>
        </w:tc>
        <w:tc>
          <w:tcPr>
            <w:tcW w:w="2154" w:type="dxa"/>
            <w:vAlign w:val="center"/>
          </w:tcPr>
          <w:p>
            <w:pPr>
              <w:jc w:val="center"/>
              <w:rPr>
                <w:sz w:val="24"/>
              </w:rPr>
            </w:pPr>
            <w:r>
              <w:rPr>
                <w:rFonts w:hint="eastAsia"/>
                <w:sz w:val="24"/>
              </w:rPr>
              <w:t>招标文件</w:t>
            </w:r>
          </w:p>
          <w:p>
            <w:pPr>
              <w:jc w:val="center"/>
              <w:rPr>
                <w:sz w:val="24"/>
              </w:rPr>
            </w:pPr>
            <w:r>
              <w:rPr>
                <w:rFonts w:hint="eastAsia"/>
                <w:sz w:val="24"/>
              </w:rPr>
              <w:t>技术规范、要求</w:t>
            </w:r>
          </w:p>
        </w:tc>
        <w:tc>
          <w:tcPr>
            <w:tcW w:w="1802" w:type="dxa"/>
            <w:vAlign w:val="center"/>
          </w:tcPr>
          <w:p>
            <w:pPr>
              <w:jc w:val="center"/>
              <w:rPr>
                <w:sz w:val="24"/>
              </w:rPr>
            </w:pPr>
            <w:r>
              <w:rPr>
                <w:rFonts w:hint="eastAsia"/>
                <w:sz w:val="24"/>
              </w:rPr>
              <w:t>投标文件</w:t>
            </w:r>
          </w:p>
          <w:p>
            <w:pPr>
              <w:jc w:val="center"/>
              <w:rPr>
                <w:sz w:val="24"/>
              </w:rPr>
            </w:pPr>
            <w:r>
              <w:rPr>
                <w:rFonts w:hint="eastAsia"/>
                <w:sz w:val="24"/>
              </w:rPr>
              <w:t>技术规范</w:t>
            </w:r>
          </w:p>
        </w:tc>
        <w:tc>
          <w:tcPr>
            <w:tcW w:w="1428" w:type="dxa"/>
            <w:vAlign w:val="center"/>
          </w:tcPr>
          <w:p>
            <w:pPr>
              <w:jc w:val="center"/>
              <w:rPr>
                <w:sz w:val="24"/>
              </w:rPr>
            </w:pPr>
            <w:r>
              <w:rPr>
                <w:rFonts w:hint="eastAsia"/>
                <w:sz w:val="24"/>
              </w:rPr>
              <w:t>偏离</w:t>
            </w:r>
            <w:r>
              <w:rPr>
                <w:rFonts w:hint="eastAsia"/>
                <w:color w:val="FF0000"/>
                <w:sz w:val="24"/>
              </w:rPr>
              <w:t>说明</w:t>
            </w:r>
          </w:p>
        </w:tc>
        <w:tc>
          <w:tcPr>
            <w:tcW w:w="1428"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70" w:type="dxa"/>
          </w:tcPr>
          <w:p>
            <w:pPr>
              <w:spacing w:line="360" w:lineRule="auto"/>
              <w:ind w:firstLine="480" w:firstLineChars="200"/>
              <w:jc w:val="center"/>
              <w:rPr>
                <w:sz w:val="24"/>
              </w:rPr>
            </w:pPr>
          </w:p>
        </w:tc>
        <w:tc>
          <w:tcPr>
            <w:tcW w:w="1221" w:type="dxa"/>
          </w:tcPr>
          <w:p>
            <w:pPr>
              <w:spacing w:line="360" w:lineRule="auto"/>
              <w:ind w:firstLine="480" w:firstLineChars="200"/>
              <w:jc w:val="center"/>
              <w:rPr>
                <w:sz w:val="24"/>
              </w:rPr>
            </w:pPr>
          </w:p>
        </w:tc>
        <w:tc>
          <w:tcPr>
            <w:tcW w:w="662" w:type="dxa"/>
          </w:tcPr>
          <w:p>
            <w:pPr>
              <w:spacing w:line="360" w:lineRule="auto"/>
              <w:ind w:firstLine="480" w:firstLineChars="200"/>
              <w:jc w:val="center"/>
              <w:rPr>
                <w:sz w:val="24"/>
              </w:rPr>
            </w:pPr>
          </w:p>
        </w:tc>
        <w:tc>
          <w:tcPr>
            <w:tcW w:w="2154" w:type="dxa"/>
          </w:tcPr>
          <w:p>
            <w:pPr>
              <w:spacing w:line="360" w:lineRule="auto"/>
              <w:ind w:firstLine="480" w:firstLineChars="200"/>
              <w:jc w:val="center"/>
              <w:rPr>
                <w:sz w:val="24"/>
              </w:rPr>
            </w:pPr>
          </w:p>
        </w:tc>
        <w:tc>
          <w:tcPr>
            <w:tcW w:w="1802" w:type="dxa"/>
          </w:tcPr>
          <w:p>
            <w:pPr>
              <w:spacing w:line="360" w:lineRule="auto"/>
              <w:ind w:firstLine="480" w:firstLineChars="200"/>
              <w:jc w:val="center"/>
              <w:rPr>
                <w:sz w:val="24"/>
              </w:rPr>
            </w:pPr>
          </w:p>
        </w:tc>
        <w:tc>
          <w:tcPr>
            <w:tcW w:w="1428" w:type="dxa"/>
          </w:tcPr>
          <w:p>
            <w:pPr>
              <w:spacing w:line="360" w:lineRule="auto"/>
              <w:ind w:firstLine="480" w:firstLineChars="200"/>
              <w:jc w:val="center"/>
              <w:rPr>
                <w:sz w:val="24"/>
              </w:rPr>
            </w:pPr>
          </w:p>
        </w:tc>
        <w:tc>
          <w:tcPr>
            <w:tcW w:w="1428" w:type="dxa"/>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70" w:type="dxa"/>
          </w:tcPr>
          <w:p>
            <w:pPr>
              <w:spacing w:line="360" w:lineRule="auto"/>
              <w:ind w:firstLine="480" w:firstLineChars="200"/>
              <w:jc w:val="center"/>
              <w:rPr>
                <w:sz w:val="24"/>
              </w:rPr>
            </w:pPr>
          </w:p>
        </w:tc>
        <w:tc>
          <w:tcPr>
            <w:tcW w:w="1221" w:type="dxa"/>
          </w:tcPr>
          <w:p>
            <w:pPr>
              <w:spacing w:line="360" w:lineRule="auto"/>
              <w:ind w:firstLine="480" w:firstLineChars="200"/>
              <w:jc w:val="center"/>
              <w:rPr>
                <w:sz w:val="24"/>
              </w:rPr>
            </w:pPr>
          </w:p>
        </w:tc>
        <w:tc>
          <w:tcPr>
            <w:tcW w:w="662" w:type="dxa"/>
          </w:tcPr>
          <w:p>
            <w:pPr>
              <w:spacing w:line="360" w:lineRule="auto"/>
              <w:ind w:firstLine="480" w:firstLineChars="200"/>
              <w:jc w:val="center"/>
              <w:rPr>
                <w:sz w:val="24"/>
              </w:rPr>
            </w:pPr>
          </w:p>
        </w:tc>
        <w:tc>
          <w:tcPr>
            <w:tcW w:w="2154" w:type="dxa"/>
          </w:tcPr>
          <w:p>
            <w:pPr>
              <w:spacing w:line="360" w:lineRule="auto"/>
              <w:ind w:firstLine="480" w:firstLineChars="200"/>
              <w:jc w:val="center"/>
              <w:rPr>
                <w:sz w:val="24"/>
              </w:rPr>
            </w:pPr>
          </w:p>
        </w:tc>
        <w:tc>
          <w:tcPr>
            <w:tcW w:w="1802" w:type="dxa"/>
          </w:tcPr>
          <w:p>
            <w:pPr>
              <w:spacing w:line="360" w:lineRule="auto"/>
              <w:ind w:firstLine="480" w:firstLineChars="200"/>
              <w:jc w:val="center"/>
              <w:rPr>
                <w:sz w:val="24"/>
              </w:rPr>
            </w:pPr>
          </w:p>
        </w:tc>
        <w:tc>
          <w:tcPr>
            <w:tcW w:w="1428" w:type="dxa"/>
          </w:tcPr>
          <w:p>
            <w:pPr>
              <w:spacing w:line="360" w:lineRule="auto"/>
              <w:ind w:firstLine="480" w:firstLineChars="200"/>
              <w:jc w:val="center"/>
              <w:rPr>
                <w:sz w:val="24"/>
              </w:rPr>
            </w:pPr>
          </w:p>
        </w:tc>
        <w:tc>
          <w:tcPr>
            <w:tcW w:w="1428" w:type="dxa"/>
          </w:tcPr>
          <w:p>
            <w:pPr>
              <w:spacing w:line="360" w:lineRule="auto"/>
              <w:ind w:firstLine="480" w:firstLineChars="200"/>
              <w:jc w:val="center"/>
              <w:rPr>
                <w:sz w:val="24"/>
              </w:rPr>
            </w:pPr>
          </w:p>
        </w:tc>
      </w:tr>
    </w:tbl>
    <w:p>
      <w:pPr>
        <w:spacing w:line="360" w:lineRule="auto"/>
        <w:rPr>
          <w:sz w:val="24"/>
        </w:rPr>
      </w:pPr>
      <w:r>
        <w:rPr>
          <w:rFonts w:hint="eastAsia"/>
          <w:sz w:val="24"/>
        </w:rPr>
        <w:t>投标人代表（签名）：                            投标人（加盖公章）：</w:t>
      </w:r>
    </w:p>
    <w:p>
      <w:pPr>
        <w:pStyle w:val="7"/>
        <w:rPr>
          <w:rFonts w:ascii="宋体" w:hAnsi="宋体"/>
          <w:color w:val="FF0000"/>
          <w:sz w:val="24"/>
        </w:rPr>
      </w:pPr>
      <w:r>
        <w:rPr>
          <w:rFonts w:hint="eastAsia"/>
        </w:rPr>
        <w:t>注：技术规范偏离表必须填写相关内容，</w:t>
      </w:r>
      <w:r>
        <w:rPr>
          <w:rFonts w:hint="eastAsia"/>
          <w:color w:val="FF0000"/>
        </w:rPr>
        <w:t>若无偏离，请在偏离说明中填“无”；若有正、负偏离的请在表项中列明。</w:t>
      </w:r>
    </w:p>
    <w:p>
      <w:pPr>
        <w:pStyle w:val="7"/>
      </w:pPr>
    </w:p>
    <w:p>
      <w:pPr>
        <w:spacing w:line="360" w:lineRule="auto"/>
        <w:ind w:firstLine="480" w:firstLineChars="200"/>
        <w:rPr>
          <w:sz w:val="24"/>
        </w:rPr>
      </w:pPr>
      <w:r>
        <w:rPr>
          <w:rFonts w:hint="eastAsia"/>
          <w:sz w:val="24"/>
        </w:rPr>
        <w:t xml:space="preserve">                                                 日期：20  年   月   日</w:t>
      </w:r>
    </w:p>
    <w:p>
      <w:pPr>
        <w:spacing w:line="360" w:lineRule="auto"/>
        <w:ind w:firstLine="480" w:firstLineChars="200"/>
        <w:jc w:val="center"/>
        <w:rPr>
          <w:sz w:val="24"/>
        </w:rPr>
      </w:pPr>
      <w:r>
        <w:rPr>
          <w:sz w:val="24"/>
        </w:rPr>
        <w:br w:type="page"/>
      </w:r>
      <w:r>
        <w:rPr>
          <w:rFonts w:hint="eastAsia"/>
          <w:sz w:val="24"/>
        </w:rPr>
        <w:t>十一、货物具体配置表</w:t>
      </w:r>
    </w:p>
    <w:p>
      <w:pPr>
        <w:spacing w:line="360" w:lineRule="auto"/>
        <w:ind w:firstLine="480" w:firstLineChars="200"/>
        <w:rPr>
          <w:sz w:val="24"/>
        </w:rPr>
      </w:pPr>
      <w:r>
        <w:rPr>
          <w:rFonts w:hint="eastAsia"/>
          <w:sz w:val="24"/>
        </w:rPr>
        <w:t>填表说明：可附具体的介绍图文资料</w:t>
      </w:r>
    </w:p>
    <w:tbl>
      <w:tblPr>
        <w:tblStyle w:val="11"/>
        <w:tblW w:w="8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801"/>
        <w:gridCol w:w="900"/>
        <w:gridCol w:w="1080"/>
        <w:gridCol w:w="1260"/>
        <w:gridCol w:w="1620"/>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16" w:type="dxa"/>
            <w:vAlign w:val="center"/>
          </w:tcPr>
          <w:p>
            <w:pPr>
              <w:jc w:val="center"/>
              <w:rPr>
                <w:sz w:val="24"/>
              </w:rPr>
            </w:pPr>
            <w:r>
              <w:rPr>
                <w:rFonts w:hint="eastAsia"/>
                <w:sz w:val="24"/>
              </w:rPr>
              <w:t>序号</w:t>
            </w:r>
          </w:p>
        </w:tc>
        <w:tc>
          <w:tcPr>
            <w:tcW w:w="1801" w:type="dxa"/>
            <w:vAlign w:val="center"/>
          </w:tcPr>
          <w:p>
            <w:pPr>
              <w:jc w:val="center"/>
              <w:rPr>
                <w:sz w:val="24"/>
              </w:rPr>
            </w:pPr>
            <w:r>
              <w:rPr>
                <w:rFonts w:hint="eastAsia"/>
                <w:sz w:val="24"/>
              </w:rPr>
              <w:t>设备名称</w:t>
            </w:r>
          </w:p>
        </w:tc>
        <w:tc>
          <w:tcPr>
            <w:tcW w:w="900" w:type="dxa"/>
            <w:vAlign w:val="center"/>
          </w:tcPr>
          <w:p>
            <w:pPr>
              <w:jc w:val="center"/>
              <w:rPr>
                <w:sz w:val="24"/>
              </w:rPr>
            </w:pPr>
            <w:r>
              <w:rPr>
                <w:rFonts w:hint="eastAsia"/>
                <w:sz w:val="24"/>
              </w:rPr>
              <w:t>数量</w:t>
            </w:r>
          </w:p>
        </w:tc>
        <w:tc>
          <w:tcPr>
            <w:tcW w:w="1080" w:type="dxa"/>
            <w:vAlign w:val="center"/>
          </w:tcPr>
          <w:p>
            <w:pPr>
              <w:jc w:val="center"/>
              <w:rPr>
                <w:sz w:val="24"/>
              </w:rPr>
            </w:pPr>
            <w:r>
              <w:rPr>
                <w:rFonts w:hint="eastAsia"/>
                <w:sz w:val="24"/>
              </w:rPr>
              <w:t>品牌</w:t>
            </w:r>
          </w:p>
        </w:tc>
        <w:tc>
          <w:tcPr>
            <w:tcW w:w="1260" w:type="dxa"/>
            <w:vAlign w:val="center"/>
          </w:tcPr>
          <w:p>
            <w:pPr>
              <w:jc w:val="center"/>
              <w:rPr>
                <w:sz w:val="24"/>
              </w:rPr>
            </w:pPr>
            <w:r>
              <w:rPr>
                <w:rFonts w:hint="eastAsia"/>
                <w:sz w:val="24"/>
              </w:rPr>
              <w:t>规格型号</w:t>
            </w:r>
          </w:p>
        </w:tc>
        <w:tc>
          <w:tcPr>
            <w:tcW w:w="1620" w:type="dxa"/>
            <w:vAlign w:val="center"/>
          </w:tcPr>
          <w:p>
            <w:pPr>
              <w:jc w:val="center"/>
              <w:rPr>
                <w:sz w:val="24"/>
              </w:rPr>
            </w:pPr>
            <w:r>
              <w:rPr>
                <w:rFonts w:hint="eastAsia"/>
                <w:sz w:val="24"/>
              </w:rPr>
              <w:t>性能及指标</w:t>
            </w:r>
          </w:p>
        </w:tc>
        <w:tc>
          <w:tcPr>
            <w:tcW w:w="1199" w:type="dxa"/>
            <w:vAlign w:val="center"/>
          </w:tcPr>
          <w:p>
            <w:pPr>
              <w:jc w:val="center"/>
              <w:rPr>
                <w:sz w:val="24"/>
              </w:rPr>
            </w:pPr>
            <w:r>
              <w:rPr>
                <w:rFonts w:hint="eastAsia"/>
                <w:sz w:val="24"/>
              </w:rPr>
              <w:t>产地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16" w:type="dxa"/>
            <w:vAlign w:val="center"/>
          </w:tcPr>
          <w:p>
            <w:pPr>
              <w:jc w:val="center"/>
              <w:rPr>
                <w:sz w:val="24"/>
              </w:rPr>
            </w:pPr>
            <w:r>
              <w:rPr>
                <w:rFonts w:hint="eastAsia"/>
                <w:sz w:val="24"/>
              </w:rPr>
              <w:t>1</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816" w:type="dxa"/>
            <w:vAlign w:val="center"/>
          </w:tcPr>
          <w:p>
            <w:pPr>
              <w:jc w:val="center"/>
              <w:rPr>
                <w:sz w:val="24"/>
              </w:rPr>
            </w:pPr>
            <w:r>
              <w:rPr>
                <w:rFonts w:hint="eastAsia"/>
                <w:sz w:val="24"/>
              </w:rPr>
              <w:t>2</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16" w:type="dxa"/>
            <w:vAlign w:val="center"/>
          </w:tcPr>
          <w:p>
            <w:pPr>
              <w:jc w:val="center"/>
              <w:rPr>
                <w:sz w:val="24"/>
              </w:rPr>
            </w:pPr>
            <w:r>
              <w:rPr>
                <w:rFonts w:hint="eastAsia"/>
                <w:sz w:val="24"/>
              </w:rPr>
              <w:t>3</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16" w:type="dxa"/>
            <w:vAlign w:val="center"/>
          </w:tcPr>
          <w:p>
            <w:pPr>
              <w:jc w:val="center"/>
              <w:rPr>
                <w:sz w:val="24"/>
              </w:rPr>
            </w:pPr>
            <w:r>
              <w:rPr>
                <w:rFonts w:hint="eastAsia"/>
                <w:sz w:val="24"/>
              </w:rPr>
              <w:t>4</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816" w:type="dxa"/>
            <w:vAlign w:val="center"/>
          </w:tcPr>
          <w:p>
            <w:pPr>
              <w:jc w:val="center"/>
              <w:rPr>
                <w:sz w:val="24"/>
              </w:rPr>
            </w:pPr>
            <w:r>
              <w:rPr>
                <w:sz w:val="24"/>
              </w:rPr>
              <w:t>…</w:t>
            </w:r>
          </w:p>
        </w:tc>
        <w:tc>
          <w:tcPr>
            <w:tcW w:w="1801" w:type="dxa"/>
            <w:vAlign w:val="center"/>
          </w:tcPr>
          <w:p>
            <w:pPr>
              <w:jc w:val="center"/>
              <w:rPr>
                <w:sz w:val="24"/>
              </w:rPr>
            </w:pPr>
          </w:p>
        </w:tc>
        <w:tc>
          <w:tcPr>
            <w:tcW w:w="900" w:type="dxa"/>
            <w:vAlign w:val="center"/>
          </w:tcPr>
          <w:p>
            <w:pPr>
              <w:jc w:val="center"/>
              <w:rPr>
                <w:sz w:val="24"/>
              </w:rPr>
            </w:pPr>
          </w:p>
        </w:tc>
        <w:tc>
          <w:tcPr>
            <w:tcW w:w="1080" w:type="dxa"/>
            <w:vAlign w:val="center"/>
          </w:tcPr>
          <w:p>
            <w:pPr>
              <w:jc w:val="center"/>
              <w:rPr>
                <w:sz w:val="24"/>
              </w:rPr>
            </w:pPr>
          </w:p>
        </w:tc>
        <w:tc>
          <w:tcPr>
            <w:tcW w:w="1260" w:type="dxa"/>
            <w:vAlign w:val="center"/>
          </w:tcPr>
          <w:p>
            <w:pPr>
              <w:jc w:val="center"/>
              <w:rPr>
                <w:sz w:val="24"/>
              </w:rPr>
            </w:pPr>
          </w:p>
        </w:tc>
        <w:tc>
          <w:tcPr>
            <w:tcW w:w="1620" w:type="dxa"/>
            <w:vAlign w:val="center"/>
          </w:tcPr>
          <w:p>
            <w:pPr>
              <w:jc w:val="center"/>
              <w:rPr>
                <w:sz w:val="24"/>
              </w:rPr>
            </w:pPr>
          </w:p>
        </w:tc>
        <w:tc>
          <w:tcPr>
            <w:tcW w:w="1199" w:type="dxa"/>
            <w:vAlign w:val="center"/>
          </w:tcPr>
          <w:p>
            <w:pPr>
              <w:jc w:val="center"/>
              <w:rPr>
                <w:sz w:val="24"/>
              </w:rPr>
            </w:pPr>
            <w:r>
              <w:rPr>
                <w:sz w:val="24"/>
              </w:rPr>
              <w:t>…</w:t>
            </w:r>
          </w:p>
        </w:tc>
      </w:tr>
    </w:tbl>
    <w:p>
      <w:pPr>
        <w:spacing w:line="360" w:lineRule="auto"/>
        <w:ind w:firstLine="480" w:firstLineChars="200"/>
        <w:rPr>
          <w:sz w:val="24"/>
        </w:rPr>
      </w:pPr>
      <w:r>
        <w:rPr>
          <w:rFonts w:hint="eastAsia"/>
          <w:sz w:val="24"/>
        </w:rPr>
        <w:t>注：投标文件中必须明确主要设备的品牌、规格型号、性能指标等内容。</w:t>
      </w:r>
    </w:p>
    <w:p>
      <w:pPr>
        <w:spacing w:line="360" w:lineRule="auto"/>
        <w:rPr>
          <w:sz w:val="24"/>
        </w:rPr>
      </w:pPr>
      <w:r>
        <w:rPr>
          <w:rFonts w:hint="eastAsia"/>
          <w:sz w:val="24"/>
        </w:rPr>
        <w:t xml:space="preserve"> </w:t>
      </w:r>
    </w:p>
    <w:p>
      <w:pPr>
        <w:spacing w:line="360" w:lineRule="auto"/>
        <w:ind w:firstLine="360" w:firstLineChars="150"/>
        <w:rPr>
          <w:sz w:val="24"/>
        </w:rPr>
      </w:pPr>
      <w:r>
        <w:rPr>
          <w:rFonts w:hint="eastAsia"/>
          <w:sz w:val="24"/>
        </w:rPr>
        <w:t xml:space="preserve"> 投标人代表（签名）：                         投标人（加盖公章）：</w:t>
      </w:r>
    </w:p>
    <w:p>
      <w:pPr>
        <w:spacing w:line="360" w:lineRule="auto"/>
        <w:ind w:firstLine="480" w:firstLineChars="200"/>
        <w:rPr>
          <w:sz w:val="24"/>
        </w:rPr>
      </w:pPr>
      <w:r>
        <w:rPr>
          <w:rFonts w:hint="eastAsia"/>
          <w:sz w:val="24"/>
        </w:rPr>
        <w:t xml:space="preserve">                        </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                                    日期：20  年   月   日</w:t>
      </w:r>
    </w:p>
    <w:p>
      <w:pPr>
        <w:spacing w:line="360" w:lineRule="auto"/>
        <w:jc w:val="center"/>
        <w:rPr>
          <w:sz w:val="24"/>
        </w:rPr>
      </w:pPr>
      <w:r>
        <w:rPr>
          <w:rFonts w:hint="eastAsia"/>
          <w:sz w:val="24"/>
        </w:rPr>
        <w:t>十二、服务体系基本情况一览表</w:t>
      </w:r>
    </w:p>
    <w:p>
      <w:pPr>
        <w:spacing w:line="360" w:lineRule="auto"/>
        <w:jc w:val="center"/>
        <w:rPr>
          <w:sz w:val="24"/>
        </w:rPr>
      </w:pPr>
    </w:p>
    <w:tbl>
      <w:tblPr>
        <w:tblStyle w:val="11"/>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267"/>
        <w:gridCol w:w="1267"/>
        <w:gridCol w:w="1433"/>
        <w:gridCol w:w="1101"/>
        <w:gridCol w:w="126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67" w:type="dxa"/>
            <w:vAlign w:val="center"/>
          </w:tcPr>
          <w:p>
            <w:pPr>
              <w:jc w:val="center"/>
              <w:rPr>
                <w:sz w:val="24"/>
              </w:rPr>
            </w:pPr>
            <w:r>
              <w:rPr>
                <w:rFonts w:hint="eastAsia"/>
                <w:sz w:val="24"/>
              </w:rPr>
              <w:t>公司名称</w:t>
            </w:r>
          </w:p>
        </w:tc>
        <w:tc>
          <w:tcPr>
            <w:tcW w:w="1267" w:type="dxa"/>
            <w:vAlign w:val="center"/>
          </w:tcPr>
          <w:p>
            <w:pPr>
              <w:jc w:val="center"/>
              <w:rPr>
                <w:sz w:val="24"/>
              </w:rPr>
            </w:pPr>
            <w:r>
              <w:rPr>
                <w:rFonts w:hint="eastAsia"/>
                <w:sz w:val="24"/>
              </w:rPr>
              <w:t>注册资本</w:t>
            </w:r>
          </w:p>
        </w:tc>
        <w:tc>
          <w:tcPr>
            <w:tcW w:w="1267" w:type="dxa"/>
            <w:vAlign w:val="center"/>
          </w:tcPr>
          <w:p>
            <w:pPr>
              <w:jc w:val="center"/>
              <w:rPr>
                <w:sz w:val="24"/>
              </w:rPr>
            </w:pPr>
            <w:r>
              <w:rPr>
                <w:rFonts w:hint="eastAsia"/>
                <w:sz w:val="24"/>
              </w:rPr>
              <w:t>企业地址</w:t>
            </w:r>
          </w:p>
        </w:tc>
        <w:tc>
          <w:tcPr>
            <w:tcW w:w="1433" w:type="dxa"/>
            <w:vAlign w:val="center"/>
          </w:tcPr>
          <w:p>
            <w:pPr>
              <w:jc w:val="center"/>
              <w:rPr>
                <w:sz w:val="24"/>
              </w:rPr>
            </w:pPr>
            <w:r>
              <w:rPr>
                <w:rFonts w:hint="eastAsia"/>
                <w:sz w:val="24"/>
              </w:rPr>
              <w:t>法定代表人（负责人）</w:t>
            </w:r>
          </w:p>
        </w:tc>
        <w:tc>
          <w:tcPr>
            <w:tcW w:w="1101" w:type="dxa"/>
            <w:vAlign w:val="center"/>
          </w:tcPr>
          <w:p>
            <w:pPr>
              <w:jc w:val="center"/>
              <w:rPr>
                <w:sz w:val="24"/>
              </w:rPr>
            </w:pPr>
            <w:r>
              <w:rPr>
                <w:rFonts w:hint="eastAsia"/>
                <w:sz w:val="24"/>
              </w:rPr>
              <w:t>联系人</w:t>
            </w:r>
          </w:p>
        </w:tc>
        <w:tc>
          <w:tcPr>
            <w:tcW w:w="1267" w:type="dxa"/>
            <w:vAlign w:val="center"/>
          </w:tcPr>
          <w:p>
            <w:pPr>
              <w:jc w:val="center"/>
              <w:rPr>
                <w:sz w:val="24"/>
              </w:rPr>
            </w:pPr>
            <w:r>
              <w:rPr>
                <w:rFonts w:hint="eastAsia"/>
                <w:sz w:val="24"/>
              </w:rPr>
              <w:t>联系电话</w:t>
            </w:r>
          </w:p>
        </w:tc>
        <w:tc>
          <w:tcPr>
            <w:tcW w:w="1268" w:type="dxa"/>
            <w:vAlign w:val="center"/>
          </w:tcPr>
          <w:p>
            <w:pPr>
              <w:jc w:val="center"/>
              <w:rPr>
                <w:sz w:val="24"/>
              </w:rPr>
            </w:pPr>
            <w:r>
              <w:rPr>
                <w:rFonts w:hint="eastAsia"/>
                <w:sz w:val="24"/>
              </w:rPr>
              <w:t>售后服务热线电话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433" w:type="dxa"/>
          </w:tcPr>
          <w:p>
            <w:pPr>
              <w:spacing w:line="360" w:lineRule="auto"/>
              <w:ind w:firstLine="480" w:firstLineChars="200"/>
              <w:jc w:val="center"/>
              <w:rPr>
                <w:sz w:val="24"/>
              </w:rPr>
            </w:pPr>
          </w:p>
        </w:tc>
        <w:tc>
          <w:tcPr>
            <w:tcW w:w="1101"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268" w:type="dxa"/>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433" w:type="dxa"/>
          </w:tcPr>
          <w:p>
            <w:pPr>
              <w:spacing w:line="360" w:lineRule="auto"/>
              <w:ind w:firstLine="480" w:firstLineChars="200"/>
              <w:jc w:val="center"/>
              <w:rPr>
                <w:sz w:val="24"/>
              </w:rPr>
            </w:pPr>
          </w:p>
        </w:tc>
        <w:tc>
          <w:tcPr>
            <w:tcW w:w="1101"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268" w:type="dxa"/>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433" w:type="dxa"/>
          </w:tcPr>
          <w:p>
            <w:pPr>
              <w:spacing w:line="360" w:lineRule="auto"/>
              <w:ind w:firstLine="480" w:firstLineChars="200"/>
              <w:jc w:val="center"/>
              <w:rPr>
                <w:sz w:val="24"/>
              </w:rPr>
            </w:pPr>
          </w:p>
        </w:tc>
        <w:tc>
          <w:tcPr>
            <w:tcW w:w="1101" w:type="dxa"/>
          </w:tcPr>
          <w:p>
            <w:pPr>
              <w:spacing w:line="360" w:lineRule="auto"/>
              <w:ind w:firstLine="480" w:firstLineChars="200"/>
              <w:jc w:val="center"/>
              <w:rPr>
                <w:sz w:val="24"/>
              </w:rPr>
            </w:pPr>
          </w:p>
        </w:tc>
        <w:tc>
          <w:tcPr>
            <w:tcW w:w="1267" w:type="dxa"/>
          </w:tcPr>
          <w:p>
            <w:pPr>
              <w:spacing w:line="360" w:lineRule="auto"/>
              <w:ind w:firstLine="480" w:firstLineChars="200"/>
              <w:jc w:val="center"/>
              <w:rPr>
                <w:sz w:val="24"/>
              </w:rPr>
            </w:pPr>
          </w:p>
        </w:tc>
        <w:tc>
          <w:tcPr>
            <w:tcW w:w="1268" w:type="dxa"/>
          </w:tcPr>
          <w:p>
            <w:pPr>
              <w:spacing w:line="360" w:lineRule="auto"/>
              <w:ind w:firstLine="480" w:firstLineChars="200"/>
              <w:jc w:val="center"/>
              <w:rPr>
                <w:sz w:val="24"/>
              </w:rPr>
            </w:pPr>
          </w:p>
        </w:tc>
      </w:tr>
    </w:tbl>
    <w:p>
      <w:pPr>
        <w:spacing w:line="360" w:lineRule="auto"/>
        <w:ind w:firstLine="480" w:firstLineChars="200"/>
        <w:rPr>
          <w:sz w:val="24"/>
        </w:rPr>
      </w:pPr>
      <w:r>
        <w:rPr>
          <w:rFonts w:hint="eastAsia"/>
          <w:sz w:val="24"/>
        </w:rPr>
        <w:t>注：请附技术服务机构的相关资料（含营业执照、公司资质材料、人员情况、相关案例等）。</w:t>
      </w:r>
    </w:p>
    <w:p>
      <w:pPr>
        <w:spacing w:line="360" w:lineRule="auto"/>
        <w:ind w:firstLine="1440" w:firstLineChars="600"/>
        <w:rPr>
          <w:sz w:val="24"/>
        </w:rPr>
      </w:pPr>
      <w:r>
        <w:rPr>
          <w:rFonts w:hint="eastAsia"/>
          <w:sz w:val="24"/>
        </w:rPr>
        <w:t>投标人代表（签名）：              投标人（加盖公章）：</w:t>
      </w:r>
    </w:p>
    <w:p>
      <w:pPr>
        <w:spacing w:line="360" w:lineRule="auto"/>
        <w:ind w:firstLine="480" w:firstLineChars="200"/>
        <w:rPr>
          <w:sz w:val="24"/>
        </w:rPr>
      </w:pPr>
      <w:r>
        <w:rPr>
          <w:rFonts w:hint="eastAsia"/>
          <w:sz w:val="24"/>
        </w:rPr>
        <w:t xml:space="preserve">                            </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                                    日期：20  年   月   日</w:t>
      </w:r>
    </w:p>
    <w:p>
      <w:pPr>
        <w:spacing w:line="360" w:lineRule="auto"/>
        <w:jc w:val="center"/>
        <w:rPr>
          <w:sz w:val="24"/>
        </w:rPr>
      </w:pPr>
    </w:p>
    <w:p>
      <w:pPr>
        <w:spacing w:line="360" w:lineRule="auto"/>
        <w:jc w:val="center"/>
        <w:rPr>
          <w:sz w:val="24"/>
        </w:rPr>
      </w:pPr>
      <w:r>
        <w:rPr>
          <w:sz w:val="24"/>
        </w:rPr>
        <w:br w:type="page"/>
      </w:r>
      <w:r>
        <w:rPr>
          <w:rFonts w:hint="eastAsia"/>
          <w:sz w:val="24"/>
        </w:rPr>
        <w:t>十三、投标文件外层包装封面（格式供参考）</w:t>
      </w:r>
    </w:p>
    <w:p>
      <w:pPr>
        <w:spacing w:line="360" w:lineRule="auto"/>
        <w:ind w:firstLine="480" w:firstLineChars="200"/>
        <w:rPr>
          <w:rFonts w:ascii="黑体" w:eastAsia="黑体"/>
          <w:sz w:val="24"/>
        </w:rPr>
      </w:pPr>
    </w:p>
    <w:p>
      <w:pPr>
        <w:spacing w:line="360" w:lineRule="auto"/>
        <w:ind w:firstLine="480" w:firstLineChars="200"/>
        <w:rPr>
          <w:rFonts w:ascii="黑体" w:eastAsia="黑体"/>
          <w:sz w:val="24"/>
        </w:rPr>
      </w:pPr>
      <w:r>
        <w:rPr>
          <w:rFonts w:hint="eastAsia" w:ascii="黑体" w:eastAsia="黑体"/>
          <w:sz w:val="24"/>
        </w:rPr>
        <w:t xml:space="preserve">1、投标文件外层包装封面 </w:t>
      </w:r>
    </w:p>
    <w:p>
      <w:pPr>
        <w:spacing w:line="360" w:lineRule="auto"/>
        <w:jc w:val="center"/>
        <w:rPr>
          <w:rFonts w:ascii="黑体" w:eastAsia="黑体"/>
          <w:sz w:val="24"/>
        </w:rPr>
      </w:pPr>
      <w:r>
        <w:rPr>
          <w:rFonts w:hint="eastAsia" w:ascii="黑体" w:eastAsia="黑体"/>
          <w:sz w:val="24"/>
        </w:rPr>
        <w:t>投标文件（商务文件/技术文件）</w:t>
      </w:r>
    </w:p>
    <w:p>
      <w:pPr>
        <w:spacing w:line="360" w:lineRule="auto"/>
        <w:ind w:firstLine="1620" w:firstLineChars="67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投标人（加盖公章）：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Pr>
        <w:spacing w:line="360" w:lineRule="auto"/>
        <w:ind w:firstLine="480" w:firstLineChars="200"/>
        <w:rPr>
          <w:rFonts w:ascii="黑体" w:eastAsia="黑体"/>
          <w:sz w:val="24"/>
        </w:rPr>
      </w:pPr>
    </w:p>
    <w:p>
      <w:pPr>
        <w:spacing w:line="360" w:lineRule="auto"/>
        <w:ind w:firstLine="480" w:firstLineChars="200"/>
        <w:rPr>
          <w:rFonts w:ascii="黑体" w:eastAsia="黑体"/>
          <w:sz w:val="24"/>
        </w:rPr>
      </w:pPr>
      <w:r>
        <w:rPr>
          <w:rFonts w:hint="eastAsia" w:ascii="黑体" w:eastAsia="黑体"/>
          <w:sz w:val="24"/>
        </w:rPr>
        <w:t>2、报价文件外层包装封面</w:t>
      </w:r>
    </w:p>
    <w:p>
      <w:pPr>
        <w:spacing w:line="360" w:lineRule="auto"/>
        <w:jc w:val="center"/>
        <w:rPr>
          <w:rFonts w:ascii="黑体" w:eastAsia="黑体"/>
          <w:sz w:val="24"/>
        </w:rPr>
      </w:pPr>
      <w:r>
        <w:rPr>
          <w:rFonts w:hint="eastAsia" w:ascii="黑体" w:eastAsia="黑体"/>
          <w:sz w:val="24"/>
        </w:rPr>
        <w:t>投标文件（报价文件）</w:t>
      </w:r>
    </w:p>
    <w:p>
      <w:pPr>
        <w:spacing w:line="360" w:lineRule="auto"/>
        <w:ind w:firstLine="1620" w:firstLineChars="675"/>
        <w:rPr>
          <w:rFonts w:ascii="黑体" w:eastAsia="黑体"/>
          <w:sz w:val="24"/>
          <w:u w:val="single"/>
        </w:rPr>
      </w:pPr>
      <w:r>
        <w:rPr>
          <w:rFonts w:hint="eastAsia" w:ascii="黑体" w:eastAsia="黑体"/>
          <w:sz w:val="24"/>
        </w:rPr>
        <w:t xml:space="preserve">项目名称：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 xml:space="preserve">标项序号：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投标人（加盖公章）：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Pr>
        <w:spacing w:line="360" w:lineRule="auto"/>
        <w:jc w:val="center"/>
        <w:rPr>
          <w:sz w:val="24"/>
        </w:rPr>
      </w:pPr>
    </w:p>
    <w:p>
      <w:pPr>
        <w:widowControl/>
        <w:rPr>
          <w:sz w:val="24"/>
        </w:rPr>
      </w:pPr>
      <w:r>
        <w:rPr>
          <w:sz w:val="24"/>
        </w:rPr>
        <w:br w:type="page"/>
      </w:r>
    </w:p>
    <w:p>
      <w:pPr>
        <w:spacing w:line="360" w:lineRule="auto"/>
        <w:jc w:val="center"/>
        <w:rPr>
          <w:sz w:val="24"/>
        </w:rPr>
      </w:pPr>
    </w:p>
    <w:p>
      <w:pPr>
        <w:spacing w:line="360" w:lineRule="auto"/>
        <w:jc w:val="center"/>
        <w:rPr>
          <w:sz w:val="24"/>
        </w:rPr>
      </w:pPr>
      <w:r>
        <w:rPr>
          <w:rFonts w:hint="eastAsia"/>
          <w:sz w:val="24"/>
        </w:rPr>
        <w:t>十四、投标文件封面（格式供参考）</w:t>
      </w:r>
    </w:p>
    <w:p>
      <w:pPr>
        <w:spacing w:line="360" w:lineRule="auto"/>
        <w:ind w:firstLine="480" w:firstLineChars="200"/>
        <w:rPr>
          <w:rFonts w:ascii="黑体" w:eastAsia="黑体"/>
          <w:sz w:val="24"/>
        </w:rPr>
      </w:pPr>
    </w:p>
    <w:p>
      <w:pPr>
        <w:spacing w:line="360" w:lineRule="auto"/>
        <w:ind w:firstLine="480" w:firstLineChars="200"/>
        <w:rPr>
          <w:rFonts w:ascii="黑体" w:eastAsia="黑体"/>
          <w:sz w:val="24"/>
        </w:rPr>
      </w:pPr>
    </w:p>
    <w:p>
      <w:pPr>
        <w:spacing w:line="360" w:lineRule="auto"/>
        <w:ind w:firstLine="480" w:firstLineChars="200"/>
        <w:rPr>
          <w:rFonts w:ascii="黑体" w:eastAsia="黑体"/>
          <w:sz w:val="24"/>
        </w:rPr>
      </w:pPr>
      <w:r>
        <w:rPr>
          <w:rFonts w:hint="eastAsia" w:ascii="黑体" w:eastAsia="黑体"/>
          <w:sz w:val="24"/>
        </w:rPr>
        <w:t>1、商务/技术文件封面</w:t>
      </w:r>
    </w:p>
    <w:p>
      <w:pPr>
        <w:spacing w:line="360" w:lineRule="auto"/>
        <w:ind w:firstLine="480" w:firstLineChars="200"/>
        <w:rPr>
          <w:rFonts w:ascii="黑体" w:eastAsia="黑体"/>
          <w:sz w:val="24"/>
        </w:rPr>
      </w:pPr>
      <w:r>
        <w:rPr>
          <w:rFonts w:hint="eastAsia" w:ascii="黑体" w:eastAsia="黑体"/>
          <w:sz w:val="24"/>
        </w:rPr>
        <w:t xml:space="preserve">                                                               正本/副本</w:t>
      </w:r>
    </w:p>
    <w:p>
      <w:pPr>
        <w:spacing w:line="360" w:lineRule="auto"/>
        <w:jc w:val="center"/>
        <w:rPr>
          <w:rFonts w:ascii="黑体" w:eastAsia="黑体"/>
          <w:sz w:val="24"/>
        </w:rPr>
      </w:pPr>
      <w:r>
        <w:rPr>
          <w:rFonts w:hint="eastAsia" w:ascii="黑体" w:eastAsia="黑体"/>
          <w:sz w:val="24"/>
        </w:rPr>
        <w:t>商务/技术文件</w:t>
      </w:r>
    </w:p>
    <w:p>
      <w:pPr>
        <w:spacing w:line="360" w:lineRule="auto"/>
        <w:ind w:firstLine="1980" w:firstLineChars="82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360" w:lineRule="auto"/>
        <w:ind w:firstLine="1980" w:firstLineChars="82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980" w:firstLineChars="82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360" w:lineRule="auto"/>
        <w:ind w:firstLine="1980" w:firstLineChars="825"/>
        <w:rPr>
          <w:rFonts w:ascii="黑体" w:eastAsia="黑体"/>
          <w:sz w:val="24"/>
        </w:rPr>
      </w:pPr>
      <w:r>
        <w:rPr>
          <w:rFonts w:hint="eastAsia" w:ascii="黑体" w:eastAsia="黑体"/>
          <w:sz w:val="24"/>
        </w:rPr>
        <w:t>投标人（加盖公章）：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980" w:firstLineChars="825"/>
        <w:rPr>
          <w:rFonts w:ascii="黑体" w:eastAsia="黑体"/>
          <w:sz w:val="24"/>
        </w:rPr>
      </w:pPr>
      <w:r>
        <w:rPr>
          <w:rFonts w:hint="eastAsia" w:ascii="黑体" w:eastAsia="黑体"/>
          <w:sz w:val="24"/>
        </w:rPr>
        <w:t>投标人代表签名：</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480" w:firstLineChars="200"/>
        <w:jc w:val="center"/>
        <w:rPr>
          <w:rFonts w:ascii="黑体" w:eastAsia="黑体"/>
          <w:sz w:val="24"/>
        </w:rPr>
      </w:pPr>
      <w:r>
        <w:rPr>
          <w:rFonts w:hint="eastAsia" w:ascii="黑体" w:eastAsia="黑体"/>
          <w:sz w:val="24"/>
        </w:rPr>
        <w:t>2、报价文件封面</w:t>
      </w:r>
    </w:p>
    <w:p>
      <w:pPr>
        <w:spacing w:line="360" w:lineRule="auto"/>
        <w:ind w:firstLine="480" w:firstLineChars="200"/>
        <w:rPr>
          <w:rFonts w:ascii="黑体" w:eastAsia="黑体"/>
          <w:sz w:val="24"/>
        </w:rPr>
      </w:pPr>
      <w:r>
        <w:rPr>
          <w:rFonts w:hint="eastAsia" w:ascii="黑体" w:eastAsia="黑体"/>
          <w:sz w:val="24"/>
        </w:rPr>
        <w:t xml:space="preserve">                                                               正本/副本</w:t>
      </w:r>
    </w:p>
    <w:p>
      <w:pPr>
        <w:spacing w:line="360" w:lineRule="auto"/>
        <w:jc w:val="center"/>
        <w:rPr>
          <w:rFonts w:ascii="黑体" w:eastAsia="黑体"/>
          <w:sz w:val="24"/>
        </w:rPr>
      </w:pPr>
      <w:r>
        <w:rPr>
          <w:rFonts w:hint="eastAsia" w:ascii="黑体" w:eastAsia="黑体"/>
          <w:sz w:val="24"/>
        </w:rPr>
        <w:t>报价文件</w:t>
      </w:r>
    </w:p>
    <w:p>
      <w:pPr>
        <w:spacing w:line="360" w:lineRule="auto"/>
        <w:ind w:firstLine="1620" w:firstLineChars="675"/>
        <w:rPr>
          <w:rFonts w:ascii="黑体" w:eastAsia="黑体"/>
          <w:sz w:val="24"/>
          <w:u w:val="single"/>
        </w:rPr>
      </w:pPr>
      <w:r>
        <w:rPr>
          <w:rFonts w:hint="eastAsia" w:ascii="黑体" w:eastAsia="黑体"/>
          <w:sz w:val="24"/>
        </w:rPr>
        <w:t>项目名称：</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投标人（加盖公章）：</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投标人代表签名：</w:t>
      </w:r>
      <w:r>
        <w:rPr>
          <w:rFonts w:hint="eastAsia" w:ascii="黑体" w:eastAsia="黑体"/>
          <w:sz w:val="24"/>
          <w:u w:val="single"/>
        </w:rPr>
        <w:t xml:space="preserve">                                       </w:t>
      </w:r>
    </w:p>
    <w:p>
      <w:pPr>
        <w:spacing w:line="360" w:lineRule="auto"/>
        <w:jc w:val="center"/>
        <w:rPr>
          <w:sz w:val="24"/>
        </w:rPr>
      </w:pPr>
    </w:p>
    <w:p>
      <w:pPr>
        <w:spacing w:line="369" w:lineRule="auto"/>
        <w:jc w:val="both"/>
        <w:rPr>
          <w:rFonts w:ascii="Times New Roman" w:eastAsia="Times New Roman"/>
        </w:rPr>
        <w:sectPr>
          <w:footerReference r:id="rId6" w:type="default"/>
          <w:pgSz w:w="11910" w:h="16840"/>
          <w:pgMar w:top="1260" w:right="995" w:bottom="280" w:left="980" w:header="720" w:footer="720" w:gutter="0"/>
          <w:cols w:space="720" w:num="1"/>
        </w:sectPr>
      </w:pPr>
    </w:p>
    <w:p>
      <w:pPr>
        <w:pStyle w:val="3"/>
        <w:tabs>
          <w:tab w:val="left" w:pos="1600"/>
        </w:tabs>
        <w:spacing w:before="132"/>
        <w:rPr>
          <w:rFonts w:ascii="黑体" w:eastAsia="黑体"/>
        </w:rPr>
      </w:pPr>
      <w:bookmarkStart w:id="80" w:name="第五部分合同范本"/>
      <w:bookmarkEnd w:id="80"/>
      <w:r>
        <w:rPr>
          <w:rFonts w:hint="eastAsia" w:ascii="黑体" w:eastAsia="黑体"/>
        </w:rPr>
        <w:t>第五部分</w:t>
      </w:r>
      <w:r>
        <w:rPr>
          <w:rFonts w:hint="eastAsia" w:ascii="黑体" w:eastAsia="黑体"/>
        </w:rPr>
        <w:tab/>
      </w:r>
      <w:r>
        <w:rPr>
          <w:rFonts w:hint="eastAsia" w:ascii="黑体" w:eastAsia="黑体"/>
        </w:rPr>
        <w:t>合同范本</w:t>
      </w:r>
    </w:p>
    <w:p>
      <w:pPr>
        <w:pStyle w:val="8"/>
        <w:spacing w:before="4"/>
        <w:rPr>
          <w:rFonts w:ascii="黑体"/>
          <w:sz w:val="16"/>
        </w:rPr>
      </w:pPr>
    </w:p>
    <w:p>
      <w:pPr>
        <w:pStyle w:val="8"/>
        <w:spacing w:before="66" w:line="465" w:lineRule="auto"/>
        <w:ind w:left="858" w:right="7969"/>
      </w:pPr>
      <w:r>
        <w:t>（服务类样本</w:t>
      </w:r>
      <w:r>
        <w:rPr>
          <w:spacing w:val="-17"/>
        </w:rPr>
        <w:t xml:space="preserve">） </w:t>
      </w:r>
      <w:r>
        <w:t>合同编号：</w:t>
      </w:r>
    </w:p>
    <w:p>
      <w:pPr>
        <w:pStyle w:val="8"/>
        <w:tabs>
          <w:tab w:val="left" w:pos="6018"/>
          <w:tab w:val="left" w:pos="8178"/>
          <w:tab w:val="left" w:pos="8658"/>
        </w:tabs>
        <w:spacing w:line="463" w:lineRule="auto"/>
        <w:ind w:left="858" w:right="1609"/>
      </w:pPr>
      <w:r>
        <w:t>签订地点：</w:t>
      </w:r>
      <w:r>
        <w:tab/>
      </w:r>
      <w:r>
        <w:t>签订时间：20*</w:t>
      </w:r>
      <w:r>
        <w:rPr>
          <w:spacing w:val="-4"/>
        </w:rPr>
        <w:t xml:space="preserve"> </w:t>
      </w:r>
      <w:r>
        <w:t>年</w:t>
      </w:r>
      <w:r>
        <w:tab/>
      </w:r>
      <w:r>
        <w:t>月</w:t>
      </w:r>
      <w:r>
        <w:tab/>
      </w:r>
      <w:r>
        <w:rPr>
          <w:spacing w:val="-17"/>
        </w:rPr>
        <w:t>日</w:t>
      </w:r>
      <w:r>
        <w:t>项目名称：</w:t>
      </w:r>
    </w:p>
    <w:p>
      <w:pPr>
        <w:pStyle w:val="8"/>
        <w:spacing w:line="463" w:lineRule="auto"/>
        <w:ind w:left="858" w:right="7969"/>
      </w:pPr>
      <w:r>
        <w:t>甲方（需方）： 乙方（供方）：</w:t>
      </w:r>
    </w:p>
    <w:p>
      <w:pPr>
        <w:pStyle w:val="8"/>
        <w:tabs>
          <w:tab w:val="left" w:pos="7439"/>
        </w:tabs>
        <w:spacing w:line="306" w:lineRule="exact"/>
        <w:ind w:left="858"/>
      </w:pPr>
      <w:r>
        <w:t>供</w:t>
      </w:r>
      <w:r>
        <w:rPr>
          <w:spacing w:val="-22"/>
        </w:rPr>
        <w:t>、</w:t>
      </w:r>
      <w:r>
        <w:t>需双方根据杭州市萧山区</w:t>
      </w:r>
      <w:r>
        <w:tab/>
      </w:r>
      <w:r>
        <w:t>项</w:t>
      </w:r>
      <w:r>
        <w:rPr>
          <w:spacing w:val="-20"/>
        </w:rPr>
        <w:t>目</w:t>
      </w:r>
      <w:r>
        <w:t>（招标编号</w:t>
      </w:r>
      <w:r>
        <w:rPr>
          <w:spacing w:val="-60"/>
        </w:rPr>
        <w:t xml:space="preserve"> </w:t>
      </w:r>
      <w:r>
        <w:t>XZCG</w:t>
      </w:r>
    </w:p>
    <w:p>
      <w:pPr>
        <w:pStyle w:val="8"/>
        <w:tabs>
          <w:tab w:val="left" w:pos="1218"/>
          <w:tab w:val="left" w:pos="1698"/>
        </w:tabs>
        <w:spacing w:before="161" w:line="465" w:lineRule="auto"/>
        <w:ind w:left="858" w:right="1398"/>
      </w:pPr>
      <w:r>
        <w:t>-</w:t>
      </w:r>
      <w:r>
        <w:tab/>
      </w:r>
      <w:r>
        <w:t>-</w:t>
      </w:r>
      <w:r>
        <w:tab/>
      </w:r>
      <w:r>
        <w:t>）</w:t>
      </w:r>
      <w:r>
        <w:rPr>
          <w:spacing w:val="-3"/>
        </w:rPr>
        <w:t>招标结果和招标文件的要求，并经双方协调一致，订立本采购合同。一、合同文件：</w:t>
      </w:r>
    </w:p>
    <w:p>
      <w:pPr>
        <w:pStyle w:val="8"/>
        <w:spacing w:line="307" w:lineRule="exact"/>
        <w:ind w:left="858"/>
      </w:pPr>
      <w:r>
        <w:t>1、合同条款。</w:t>
      </w:r>
    </w:p>
    <w:p>
      <w:pPr>
        <w:pStyle w:val="8"/>
        <w:spacing w:before="9"/>
        <w:rPr>
          <w:sz w:val="21"/>
        </w:rPr>
      </w:pPr>
    </w:p>
    <w:p>
      <w:pPr>
        <w:pStyle w:val="8"/>
        <w:ind w:left="858"/>
      </w:pPr>
      <w:r>
        <w:t>2、中标通知书。</w:t>
      </w:r>
    </w:p>
    <w:p>
      <w:pPr>
        <w:pStyle w:val="8"/>
        <w:spacing w:before="4"/>
        <w:rPr>
          <w:sz w:val="22"/>
        </w:rPr>
      </w:pPr>
    </w:p>
    <w:p>
      <w:pPr>
        <w:pStyle w:val="8"/>
        <w:ind w:left="858"/>
      </w:pPr>
      <w:r>
        <w:t>3、招标文件。</w:t>
      </w:r>
    </w:p>
    <w:p>
      <w:pPr>
        <w:pStyle w:val="8"/>
        <w:spacing w:before="6"/>
        <w:rPr>
          <w:sz w:val="22"/>
        </w:rPr>
      </w:pPr>
    </w:p>
    <w:p>
      <w:pPr>
        <w:pStyle w:val="8"/>
        <w:ind w:left="858"/>
      </w:pPr>
      <w:r>
        <w:t>4、更正公告。</w:t>
      </w:r>
    </w:p>
    <w:p>
      <w:pPr>
        <w:pStyle w:val="8"/>
        <w:spacing w:before="3"/>
        <w:rPr>
          <w:sz w:val="22"/>
        </w:rPr>
      </w:pPr>
    </w:p>
    <w:p>
      <w:pPr>
        <w:pStyle w:val="8"/>
        <w:ind w:left="858"/>
      </w:pPr>
      <w:r>
        <w:t>5、中标单位投标文件。</w:t>
      </w:r>
    </w:p>
    <w:p>
      <w:pPr>
        <w:pStyle w:val="8"/>
        <w:spacing w:before="3"/>
        <w:rPr>
          <w:sz w:val="22"/>
        </w:rPr>
      </w:pPr>
    </w:p>
    <w:p>
      <w:pPr>
        <w:pStyle w:val="8"/>
        <w:spacing w:before="1"/>
        <w:ind w:left="858"/>
      </w:pPr>
      <w:r>
        <w:t>6、其他。</w:t>
      </w:r>
    </w:p>
    <w:p>
      <w:pPr>
        <w:pStyle w:val="8"/>
        <w:spacing w:before="3"/>
        <w:rPr>
          <w:sz w:val="22"/>
        </w:rPr>
      </w:pPr>
    </w:p>
    <w:p>
      <w:pPr>
        <w:pStyle w:val="8"/>
        <w:tabs>
          <w:tab w:val="left" w:pos="6750"/>
          <w:tab w:val="left" w:pos="8435"/>
        </w:tabs>
        <w:spacing w:line="369" w:lineRule="auto"/>
        <w:ind w:left="858" w:right="872"/>
      </w:pPr>
      <w:r>
        <w:t>二、合同金</w:t>
      </w:r>
      <w:r>
        <w:rPr>
          <w:spacing w:val="-3"/>
        </w:rPr>
        <w:t>额</w:t>
      </w:r>
      <w:r>
        <w:t>:</w:t>
      </w:r>
      <w:r>
        <w:rPr>
          <w:spacing w:val="3"/>
        </w:rPr>
        <w:t xml:space="preserve"> </w:t>
      </w:r>
      <w:r>
        <w:t>本合同金额为(大写)</w:t>
      </w:r>
      <w:r>
        <w:rPr>
          <w:u w:val="single"/>
        </w:rPr>
        <w:t xml:space="preserve"> </w:t>
      </w:r>
      <w:r>
        <w:rPr>
          <w:u w:val="single"/>
        </w:rPr>
        <w:tab/>
      </w:r>
      <w:r>
        <w:t>元（￥</w:t>
      </w:r>
      <w:r>
        <w:tab/>
      </w:r>
      <w:r>
        <w:t>元）人民</w:t>
      </w:r>
      <w:r>
        <w:rPr>
          <w:spacing w:val="-17"/>
        </w:rPr>
        <w:t>币</w:t>
      </w:r>
      <w:r>
        <w:t>附：</w:t>
      </w:r>
    </w:p>
    <w:p>
      <w:pPr>
        <w:pStyle w:val="8"/>
        <w:spacing w:before="116"/>
        <w:ind w:left="858"/>
      </w:pPr>
      <w:r>
        <w:t>《采购项目清单内容》</w:t>
      </w:r>
    </w:p>
    <w:p>
      <w:pPr>
        <w:pStyle w:val="8"/>
        <w:spacing w:before="3" w:after="1"/>
        <w:rPr>
          <w:sz w:val="22"/>
        </w:rPr>
      </w:pPr>
    </w:p>
    <w:tbl>
      <w:tblPr>
        <w:tblStyle w:val="11"/>
        <w:tblW w:w="8824" w:type="dxa"/>
        <w:tblInd w:w="6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5"/>
        <w:gridCol w:w="1692"/>
        <w:gridCol w:w="1800"/>
        <w:gridCol w:w="1758"/>
        <w:gridCol w:w="762"/>
        <w:gridCol w:w="18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945" w:type="dxa"/>
          </w:tcPr>
          <w:p>
            <w:pPr>
              <w:pStyle w:val="14"/>
              <w:spacing w:before="14"/>
              <w:ind w:left="238"/>
              <w:rPr>
                <w:sz w:val="24"/>
              </w:rPr>
            </w:pPr>
            <w:r>
              <w:rPr>
                <w:sz w:val="24"/>
              </w:rPr>
              <w:t>序号</w:t>
            </w:r>
          </w:p>
        </w:tc>
        <w:tc>
          <w:tcPr>
            <w:tcW w:w="1692" w:type="dxa"/>
          </w:tcPr>
          <w:p>
            <w:pPr>
              <w:pStyle w:val="14"/>
              <w:spacing w:before="14"/>
              <w:ind w:left="579"/>
              <w:rPr>
                <w:sz w:val="24"/>
              </w:rPr>
            </w:pPr>
            <w:r>
              <w:rPr>
                <w:sz w:val="24"/>
              </w:rPr>
              <w:t>采购项目</w:t>
            </w:r>
          </w:p>
        </w:tc>
        <w:tc>
          <w:tcPr>
            <w:tcW w:w="1800" w:type="dxa"/>
          </w:tcPr>
          <w:p>
            <w:pPr>
              <w:pStyle w:val="14"/>
              <w:spacing w:before="14"/>
              <w:ind w:left="634"/>
              <w:rPr>
                <w:sz w:val="24"/>
              </w:rPr>
            </w:pPr>
            <w:r>
              <w:rPr>
                <w:sz w:val="24"/>
              </w:rPr>
              <w:t>中标内容</w:t>
            </w:r>
          </w:p>
        </w:tc>
        <w:tc>
          <w:tcPr>
            <w:tcW w:w="1758" w:type="dxa"/>
          </w:tcPr>
          <w:p>
            <w:pPr>
              <w:pStyle w:val="14"/>
              <w:spacing w:before="14"/>
              <w:ind w:left="111" w:right="-29"/>
              <w:rPr>
                <w:sz w:val="24"/>
              </w:rPr>
            </w:pPr>
            <w:r>
              <w:rPr>
                <w:spacing w:val="-6"/>
                <w:sz w:val="24"/>
              </w:rPr>
              <w:t>中标单价</w:t>
            </w:r>
            <w:r>
              <w:rPr>
                <w:sz w:val="24"/>
              </w:rPr>
              <w:t>（元</w:t>
            </w:r>
            <w:r>
              <w:rPr>
                <w:spacing w:val="-11"/>
                <w:sz w:val="24"/>
              </w:rPr>
              <w:t>）</w:t>
            </w:r>
          </w:p>
        </w:tc>
        <w:tc>
          <w:tcPr>
            <w:tcW w:w="762" w:type="dxa"/>
          </w:tcPr>
          <w:p>
            <w:pPr>
              <w:pStyle w:val="14"/>
              <w:spacing w:before="14"/>
              <w:ind w:left="146"/>
              <w:rPr>
                <w:sz w:val="24"/>
              </w:rPr>
            </w:pPr>
            <w:r>
              <w:rPr>
                <w:sz w:val="24"/>
              </w:rPr>
              <w:t>数量</w:t>
            </w:r>
          </w:p>
        </w:tc>
        <w:tc>
          <w:tcPr>
            <w:tcW w:w="1867" w:type="dxa"/>
          </w:tcPr>
          <w:p>
            <w:pPr>
              <w:pStyle w:val="14"/>
              <w:spacing w:before="14"/>
              <w:ind w:left="111"/>
              <w:rPr>
                <w:sz w:val="24"/>
              </w:rPr>
            </w:pPr>
            <w:r>
              <w:rPr>
                <w:sz w:val="24"/>
              </w:rPr>
              <w:t>中标总价（元）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trPr>
        <w:tc>
          <w:tcPr>
            <w:tcW w:w="945" w:type="dxa"/>
          </w:tcPr>
          <w:p>
            <w:pPr>
              <w:pStyle w:val="14"/>
              <w:spacing w:before="4"/>
              <w:ind w:left="535"/>
              <w:rPr>
                <w:sz w:val="24"/>
              </w:rPr>
            </w:pPr>
            <w:r>
              <w:rPr>
                <w:sz w:val="24"/>
              </w:rPr>
              <w:t>1</w:t>
            </w:r>
          </w:p>
        </w:tc>
        <w:tc>
          <w:tcPr>
            <w:tcW w:w="1692" w:type="dxa"/>
          </w:tcPr>
          <w:p>
            <w:pPr>
              <w:pStyle w:val="14"/>
              <w:rPr>
                <w:rFonts w:ascii="Times New Roman"/>
                <w:sz w:val="24"/>
              </w:rPr>
            </w:pPr>
          </w:p>
        </w:tc>
        <w:tc>
          <w:tcPr>
            <w:tcW w:w="1800" w:type="dxa"/>
          </w:tcPr>
          <w:p>
            <w:pPr>
              <w:pStyle w:val="14"/>
              <w:rPr>
                <w:rFonts w:ascii="Times New Roman"/>
                <w:sz w:val="24"/>
              </w:rPr>
            </w:pPr>
          </w:p>
        </w:tc>
        <w:tc>
          <w:tcPr>
            <w:tcW w:w="1758" w:type="dxa"/>
          </w:tcPr>
          <w:p>
            <w:pPr>
              <w:pStyle w:val="14"/>
              <w:rPr>
                <w:rFonts w:ascii="Times New Roman"/>
                <w:sz w:val="24"/>
              </w:rPr>
            </w:pPr>
          </w:p>
        </w:tc>
        <w:tc>
          <w:tcPr>
            <w:tcW w:w="762" w:type="dxa"/>
          </w:tcPr>
          <w:p>
            <w:pPr>
              <w:pStyle w:val="14"/>
              <w:rPr>
                <w:rFonts w:ascii="Times New Roman"/>
                <w:sz w:val="24"/>
              </w:rPr>
            </w:pPr>
          </w:p>
        </w:tc>
        <w:tc>
          <w:tcPr>
            <w:tcW w:w="1867" w:type="dxa"/>
          </w:tcPr>
          <w:p>
            <w:pPr>
              <w:pStyle w:val="14"/>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trPr>
        <w:tc>
          <w:tcPr>
            <w:tcW w:w="945" w:type="dxa"/>
          </w:tcPr>
          <w:p>
            <w:pPr>
              <w:pStyle w:val="14"/>
              <w:spacing w:before="4"/>
              <w:ind w:left="535"/>
              <w:rPr>
                <w:sz w:val="24"/>
              </w:rPr>
            </w:pPr>
            <w:r>
              <w:rPr>
                <w:sz w:val="24"/>
              </w:rPr>
              <w:t>2</w:t>
            </w:r>
          </w:p>
        </w:tc>
        <w:tc>
          <w:tcPr>
            <w:tcW w:w="1692" w:type="dxa"/>
          </w:tcPr>
          <w:p>
            <w:pPr>
              <w:pStyle w:val="14"/>
              <w:rPr>
                <w:rFonts w:ascii="Times New Roman"/>
                <w:sz w:val="24"/>
              </w:rPr>
            </w:pPr>
          </w:p>
        </w:tc>
        <w:tc>
          <w:tcPr>
            <w:tcW w:w="1800" w:type="dxa"/>
          </w:tcPr>
          <w:p>
            <w:pPr>
              <w:pStyle w:val="14"/>
              <w:rPr>
                <w:rFonts w:ascii="Times New Roman"/>
                <w:sz w:val="24"/>
              </w:rPr>
            </w:pPr>
          </w:p>
        </w:tc>
        <w:tc>
          <w:tcPr>
            <w:tcW w:w="1758" w:type="dxa"/>
          </w:tcPr>
          <w:p>
            <w:pPr>
              <w:pStyle w:val="14"/>
              <w:rPr>
                <w:rFonts w:ascii="Times New Roman"/>
                <w:sz w:val="24"/>
              </w:rPr>
            </w:pPr>
          </w:p>
        </w:tc>
        <w:tc>
          <w:tcPr>
            <w:tcW w:w="762" w:type="dxa"/>
          </w:tcPr>
          <w:p>
            <w:pPr>
              <w:pStyle w:val="14"/>
              <w:rPr>
                <w:rFonts w:ascii="Times New Roman"/>
                <w:sz w:val="24"/>
              </w:rPr>
            </w:pPr>
          </w:p>
        </w:tc>
        <w:tc>
          <w:tcPr>
            <w:tcW w:w="1867" w:type="dxa"/>
          </w:tcPr>
          <w:p>
            <w:pPr>
              <w:pStyle w:val="14"/>
              <w:rPr>
                <w:rFonts w:ascii="Times New Roman"/>
                <w:sz w:val="24"/>
              </w:rPr>
            </w:pPr>
          </w:p>
        </w:tc>
      </w:tr>
    </w:tbl>
    <w:p>
      <w:pPr>
        <w:pStyle w:val="8"/>
        <w:spacing w:before="2"/>
        <w:ind w:left="858"/>
      </w:pPr>
      <w:r>
        <w:t>三、技术资料</w:t>
      </w:r>
    </w:p>
    <w:p>
      <w:pPr>
        <w:pStyle w:val="8"/>
        <w:spacing w:before="6"/>
        <w:rPr>
          <w:sz w:val="22"/>
        </w:rPr>
      </w:pPr>
    </w:p>
    <w:p>
      <w:pPr>
        <w:pStyle w:val="13"/>
        <w:numPr>
          <w:ilvl w:val="0"/>
          <w:numId w:val="4"/>
        </w:numPr>
        <w:tabs>
          <w:tab w:val="left" w:pos="1101"/>
        </w:tabs>
        <w:rPr>
          <w:sz w:val="24"/>
        </w:rPr>
      </w:pPr>
      <w:r>
        <w:rPr>
          <w:sz w:val="24"/>
        </w:rPr>
        <w:t>乙方应按招标文件规定的时间向甲方提供有关技术资料。</w:t>
      </w:r>
    </w:p>
    <w:p>
      <w:pPr>
        <w:rPr>
          <w:sz w:val="24"/>
        </w:rPr>
        <w:sectPr>
          <w:pgSz w:w="11910" w:h="16840"/>
          <w:pgMar w:top="1260" w:right="420" w:bottom="1220" w:left="980" w:header="887" w:footer="1039" w:gutter="0"/>
          <w:cols w:space="720" w:num="1"/>
        </w:sectPr>
      </w:pPr>
    </w:p>
    <w:p>
      <w:pPr>
        <w:pStyle w:val="13"/>
        <w:numPr>
          <w:ilvl w:val="0"/>
          <w:numId w:val="4"/>
        </w:numPr>
        <w:tabs>
          <w:tab w:val="left" w:pos="1101"/>
        </w:tabs>
        <w:spacing w:before="128" w:line="369" w:lineRule="auto"/>
        <w:ind w:left="858" w:right="845" w:firstLine="0"/>
        <w:jc w:val="both"/>
        <w:rPr>
          <w:sz w:val="24"/>
        </w:rPr>
      </w:pPr>
      <w:r>
        <w:rPr>
          <w:spacing w:val="-17"/>
          <w:sz w:val="24"/>
        </w:rPr>
        <w:t>没有甲方事先书面同意，乙方不得将由甲方提供的有关合同或任何合同条文、规格、计</w:t>
      </w:r>
      <w:r>
        <w:rPr>
          <w:spacing w:val="-12"/>
          <w:sz w:val="24"/>
        </w:rPr>
        <w:t>划、图纸、样品或资料提供给与履行本合同无关的任何其他人。即使向履行本合同有关的人员提供，也应注意保密并限于履行合同的必需范围。</w:t>
      </w:r>
    </w:p>
    <w:p>
      <w:pPr>
        <w:pStyle w:val="8"/>
        <w:spacing w:before="116"/>
        <w:ind w:left="858"/>
      </w:pPr>
      <w:r>
        <w:t>四、知识产权</w:t>
      </w:r>
    </w:p>
    <w:p>
      <w:pPr>
        <w:pStyle w:val="8"/>
        <w:spacing w:before="3"/>
        <w:rPr>
          <w:sz w:val="22"/>
        </w:rPr>
      </w:pPr>
    </w:p>
    <w:p>
      <w:pPr>
        <w:pStyle w:val="8"/>
        <w:spacing w:line="463" w:lineRule="auto"/>
        <w:ind w:left="858" w:right="3196"/>
      </w:pPr>
      <w:r>
        <w:rPr>
          <w:spacing w:val="-4"/>
        </w:rPr>
        <w:t>乙方应保证提供服务过程中不会侵犯任何第三方的知识产权。</w:t>
      </w:r>
      <w:r>
        <w:t>五、履约保证金</w:t>
      </w:r>
    </w:p>
    <w:p>
      <w:pPr>
        <w:pStyle w:val="8"/>
        <w:tabs>
          <w:tab w:val="left" w:pos="3498"/>
        </w:tabs>
        <w:spacing w:before="1" w:line="463" w:lineRule="auto"/>
        <w:ind w:left="858" w:right="3889"/>
      </w:pPr>
      <w:r>
        <w:t>乙方交纳人民币</w:t>
      </w:r>
      <w:r>
        <w:tab/>
      </w:r>
      <w:r>
        <w:t>元作为本合同的履约保证金</w:t>
      </w:r>
      <w:r>
        <w:rPr>
          <w:spacing w:val="-16"/>
        </w:rPr>
        <w:t>。</w:t>
      </w:r>
      <w:r>
        <w:t>六、转包或分包</w:t>
      </w:r>
    </w:p>
    <w:p>
      <w:pPr>
        <w:pStyle w:val="13"/>
        <w:numPr>
          <w:ilvl w:val="0"/>
          <w:numId w:val="5"/>
        </w:numPr>
        <w:tabs>
          <w:tab w:val="left" w:pos="1101"/>
        </w:tabs>
        <w:spacing w:before="4"/>
        <w:rPr>
          <w:sz w:val="24"/>
        </w:rPr>
      </w:pPr>
      <w:r>
        <w:rPr>
          <w:sz w:val="24"/>
        </w:rPr>
        <w:t>本合同范围的服务，应由乙方直接供应，不得转让他人供应；</w:t>
      </w:r>
    </w:p>
    <w:p>
      <w:pPr>
        <w:pStyle w:val="8"/>
        <w:spacing w:before="9"/>
        <w:rPr>
          <w:sz w:val="21"/>
        </w:rPr>
      </w:pPr>
    </w:p>
    <w:p>
      <w:pPr>
        <w:pStyle w:val="13"/>
        <w:numPr>
          <w:ilvl w:val="0"/>
          <w:numId w:val="5"/>
        </w:numPr>
        <w:tabs>
          <w:tab w:val="left" w:pos="1101"/>
        </w:tabs>
        <w:spacing w:line="364" w:lineRule="auto"/>
        <w:ind w:left="858" w:right="1117" w:firstLine="0"/>
        <w:rPr>
          <w:sz w:val="24"/>
        </w:rPr>
      </w:pPr>
      <w:r>
        <w:rPr>
          <w:spacing w:val="-12"/>
          <w:sz w:val="24"/>
        </w:rPr>
        <w:t>除非得到甲方的书面同意，乙方不得将本合同范围的服务全部或部分分包给他人供应；</w:t>
      </w:r>
    </w:p>
    <w:p>
      <w:pPr>
        <w:pStyle w:val="13"/>
        <w:numPr>
          <w:ilvl w:val="0"/>
          <w:numId w:val="5"/>
        </w:numPr>
        <w:tabs>
          <w:tab w:val="left" w:pos="1101"/>
        </w:tabs>
        <w:spacing w:before="128" w:line="367" w:lineRule="auto"/>
        <w:ind w:left="858" w:right="978" w:firstLine="0"/>
        <w:rPr>
          <w:sz w:val="24"/>
        </w:rPr>
      </w:pPr>
      <w:r>
        <w:rPr>
          <w:spacing w:val="-8"/>
          <w:sz w:val="24"/>
        </w:rPr>
        <w:t>如有转让和未经甲方同意的分包行为，甲方有权解除合同，没收履约保证金并追究乙方的违约责任。</w:t>
      </w:r>
    </w:p>
    <w:p>
      <w:pPr>
        <w:pStyle w:val="8"/>
        <w:spacing w:before="122"/>
        <w:ind w:left="858"/>
      </w:pPr>
      <w:r>
        <w:t>七、服务质量保证期和服务质量保证金(选用)</w:t>
      </w:r>
    </w:p>
    <w:p>
      <w:pPr>
        <w:pStyle w:val="8"/>
        <w:spacing w:before="8"/>
        <w:rPr>
          <w:sz w:val="22"/>
        </w:rPr>
      </w:pPr>
    </w:p>
    <w:p>
      <w:pPr>
        <w:pStyle w:val="13"/>
        <w:numPr>
          <w:ilvl w:val="0"/>
          <w:numId w:val="6"/>
        </w:numPr>
        <w:tabs>
          <w:tab w:val="left" w:pos="1219"/>
          <w:tab w:val="left" w:pos="3618"/>
        </w:tabs>
        <w:spacing w:before="1"/>
        <w:rPr>
          <w:sz w:val="24"/>
        </w:rPr>
      </w:pPr>
      <w:r>
        <w:rPr>
          <w:sz w:val="24"/>
        </w:rPr>
        <w:t>服务质量保证期</w:t>
      </w:r>
      <w:r>
        <w:rPr>
          <w:sz w:val="24"/>
        </w:rPr>
        <w:tab/>
      </w:r>
      <w:r>
        <w:rPr>
          <w:sz w:val="24"/>
        </w:rPr>
        <w:t>年。（自验收合格之日起计）</w:t>
      </w:r>
    </w:p>
    <w:p>
      <w:pPr>
        <w:pStyle w:val="8"/>
        <w:spacing w:before="3"/>
        <w:rPr>
          <w:sz w:val="22"/>
        </w:rPr>
      </w:pPr>
    </w:p>
    <w:p>
      <w:pPr>
        <w:pStyle w:val="13"/>
        <w:numPr>
          <w:ilvl w:val="0"/>
          <w:numId w:val="6"/>
        </w:numPr>
        <w:tabs>
          <w:tab w:val="left" w:pos="1219"/>
          <w:tab w:val="left" w:pos="4338"/>
        </w:tabs>
        <w:rPr>
          <w:sz w:val="24"/>
        </w:rPr>
      </w:pPr>
      <w:r>
        <w:rPr>
          <w:sz w:val="24"/>
        </w:rPr>
        <w:t>服务质量保证金</w:t>
      </w:r>
      <w:r>
        <w:rPr>
          <w:sz w:val="24"/>
        </w:rPr>
        <w:tab/>
      </w:r>
      <w:r>
        <w:rPr>
          <w:sz w:val="24"/>
        </w:rPr>
        <w:t>元。</w:t>
      </w:r>
    </w:p>
    <w:p>
      <w:pPr>
        <w:pStyle w:val="8"/>
        <w:spacing w:before="3"/>
        <w:rPr>
          <w:sz w:val="22"/>
        </w:rPr>
      </w:pPr>
    </w:p>
    <w:p>
      <w:pPr>
        <w:pStyle w:val="8"/>
        <w:ind w:left="858"/>
      </w:pPr>
      <w:r>
        <w:t>八、合同履行时间、履行方式及履行地点</w:t>
      </w:r>
    </w:p>
    <w:p>
      <w:pPr>
        <w:pStyle w:val="8"/>
        <w:spacing w:before="4"/>
        <w:rPr>
          <w:sz w:val="22"/>
        </w:rPr>
      </w:pPr>
    </w:p>
    <w:p>
      <w:pPr>
        <w:pStyle w:val="13"/>
        <w:numPr>
          <w:ilvl w:val="0"/>
          <w:numId w:val="7"/>
        </w:numPr>
        <w:tabs>
          <w:tab w:val="left" w:pos="1219"/>
        </w:tabs>
        <w:rPr>
          <w:sz w:val="24"/>
        </w:rPr>
      </w:pPr>
      <w:r>
        <w:rPr>
          <w:sz w:val="24"/>
        </w:rPr>
        <w:t>履行时间：</w:t>
      </w:r>
    </w:p>
    <w:p>
      <w:pPr>
        <w:pStyle w:val="8"/>
        <w:spacing w:before="3"/>
        <w:rPr>
          <w:sz w:val="22"/>
        </w:rPr>
      </w:pPr>
    </w:p>
    <w:p>
      <w:pPr>
        <w:pStyle w:val="13"/>
        <w:numPr>
          <w:ilvl w:val="0"/>
          <w:numId w:val="7"/>
        </w:numPr>
        <w:tabs>
          <w:tab w:val="left" w:pos="1219"/>
        </w:tabs>
        <w:rPr>
          <w:sz w:val="24"/>
        </w:rPr>
      </w:pPr>
      <w:r>
        <w:rPr>
          <w:sz w:val="24"/>
        </w:rPr>
        <w:t>履行方式：</w:t>
      </w:r>
    </w:p>
    <w:p>
      <w:pPr>
        <w:pStyle w:val="8"/>
        <w:spacing w:before="6"/>
        <w:rPr>
          <w:sz w:val="22"/>
        </w:rPr>
      </w:pPr>
    </w:p>
    <w:p>
      <w:pPr>
        <w:pStyle w:val="13"/>
        <w:numPr>
          <w:ilvl w:val="0"/>
          <w:numId w:val="7"/>
        </w:numPr>
        <w:tabs>
          <w:tab w:val="left" w:pos="1219"/>
        </w:tabs>
        <w:spacing w:line="463" w:lineRule="auto"/>
        <w:ind w:left="858" w:right="7969" w:firstLine="0"/>
        <w:rPr>
          <w:sz w:val="24"/>
        </w:rPr>
      </w:pPr>
      <w:r>
        <w:rPr>
          <w:spacing w:val="-4"/>
          <w:sz w:val="24"/>
        </w:rPr>
        <w:t>履行地点： 九、款项支付</w:t>
      </w:r>
      <w:r>
        <w:rPr>
          <w:spacing w:val="-9"/>
          <w:sz w:val="24"/>
        </w:rPr>
        <w:t xml:space="preserve">1. </w:t>
      </w:r>
      <w:r>
        <w:rPr>
          <w:sz w:val="24"/>
        </w:rPr>
        <w:t>付款方式：</w:t>
      </w:r>
    </w:p>
    <w:p>
      <w:pPr>
        <w:pStyle w:val="8"/>
        <w:spacing w:before="3" w:line="364" w:lineRule="auto"/>
        <w:ind w:left="858" w:right="925"/>
      </w:pPr>
      <w:r>
        <w:t>2.</w:t>
      </w:r>
      <w:r>
        <w:rPr>
          <w:spacing w:val="-12"/>
        </w:rPr>
        <w:t>合同履行完毕，需方根据合同进行验收，验收合格后供应商按财政结算要求办理货款</w:t>
      </w:r>
      <w:r>
        <w:t>结算手续。</w:t>
      </w:r>
    </w:p>
    <w:p>
      <w:pPr>
        <w:pStyle w:val="8"/>
        <w:spacing w:before="128"/>
        <w:ind w:left="858"/>
      </w:pPr>
      <w:r>
        <w:t>十、税费</w:t>
      </w:r>
    </w:p>
    <w:p>
      <w:pPr>
        <w:sectPr>
          <w:footerReference r:id="rId7" w:type="default"/>
          <w:pgSz w:w="11910" w:h="16840"/>
          <w:pgMar w:top="1260" w:right="420" w:bottom="1220" w:left="980" w:header="887" w:footer="1039" w:gutter="0"/>
          <w:pgNumType w:start="30"/>
          <w:cols w:space="720" w:num="1"/>
        </w:sectPr>
      </w:pPr>
    </w:p>
    <w:p>
      <w:pPr>
        <w:pStyle w:val="8"/>
        <w:spacing w:before="128" w:line="463" w:lineRule="auto"/>
        <w:ind w:left="858" w:right="4849"/>
      </w:pPr>
      <w:r>
        <w:t>本合同执行中相关的一切税费均由乙方负担。十一、质量保证及后续服务</w:t>
      </w:r>
    </w:p>
    <w:p>
      <w:pPr>
        <w:pStyle w:val="13"/>
        <w:numPr>
          <w:ilvl w:val="0"/>
          <w:numId w:val="8"/>
        </w:numPr>
        <w:tabs>
          <w:tab w:val="left" w:pos="1219"/>
        </w:tabs>
        <w:spacing w:before="1"/>
        <w:rPr>
          <w:sz w:val="24"/>
        </w:rPr>
      </w:pPr>
      <w:r>
        <w:rPr>
          <w:sz w:val="24"/>
        </w:rPr>
        <w:t>乙方应按招标文件规定向甲方提供服务。</w:t>
      </w:r>
    </w:p>
    <w:p>
      <w:pPr>
        <w:pStyle w:val="8"/>
        <w:spacing w:before="6"/>
        <w:rPr>
          <w:sz w:val="22"/>
        </w:rPr>
      </w:pPr>
    </w:p>
    <w:p>
      <w:pPr>
        <w:pStyle w:val="13"/>
        <w:numPr>
          <w:ilvl w:val="0"/>
          <w:numId w:val="8"/>
        </w:numPr>
        <w:tabs>
          <w:tab w:val="left" w:pos="1219"/>
        </w:tabs>
        <w:spacing w:line="364" w:lineRule="auto"/>
        <w:ind w:left="858" w:right="923" w:firstLine="0"/>
        <w:rPr>
          <w:sz w:val="24"/>
        </w:rPr>
      </w:pPr>
      <w:r>
        <w:rPr>
          <w:spacing w:val="-3"/>
          <w:sz w:val="24"/>
        </w:rPr>
        <w:t>乙方提供的服务成果在服务质量保证期内发生故障，乙方应负责免费提供后续服务。对达不到要求者，根据实际情况，经双方协商，可按以下办法处理：</w:t>
      </w:r>
    </w:p>
    <w:p>
      <w:pPr>
        <w:pStyle w:val="8"/>
        <w:spacing w:before="129"/>
        <w:ind w:left="858"/>
      </w:pPr>
      <w:r>
        <w:t>⑴重做：由乙方承担所发生的全部费用。</w:t>
      </w:r>
    </w:p>
    <w:p>
      <w:pPr>
        <w:pStyle w:val="8"/>
        <w:spacing w:before="3"/>
        <w:rPr>
          <w:sz w:val="22"/>
        </w:rPr>
      </w:pPr>
    </w:p>
    <w:p>
      <w:pPr>
        <w:pStyle w:val="8"/>
        <w:ind w:left="858"/>
      </w:pPr>
      <w:r>
        <w:t>⑵贬值处理：由甲乙双方合议定价。</w:t>
      </w:r>
    </w:p>
    <w:p>
      <w:pPr>
        <w:pStyle w:val="8"/>
        <w:spacing w:before="6"/>
        <w:rPr>
          <w:sz w:val="22"/>
        </w:rPr>
      </w:pPr>
    </w:p>
    <w:p>
      <w:pPr>
        <w:pStyle w:val="8"/>
        <w:ind w:left="858"/>
      </w:pPr>
      <w:r>
        <w:t>⑶解除合同。</w:t>
      </w:r>
    </w:p>
    <w:p>
      <w:pPr>
        <w:pStyle w:val="8"/>
        <w:spacing w:before="3"/>
        <w:rPr>
          <w:sz w:val="22"/>
        </w:rPr>
      </w:pPr>
    </w:p>
    <w:p>
      <w:pPr>
        <w:pStyle w:val="13"/>
        <w:numPr>
          <w:ilvl w:val="0"/>
          <w:numId w:val="8"/>
        </w:numPr>
        <w:tabs>
          <w:tab w:val="left" w:pos="1219"/>
          <w:tab w:val="left" w:pos="7098"/>
        </w:tabs>
        <w:rPr>
          <w:sz w:val="24"/>
        </w:rPr>
      </w:pPr>
      <w:r>
        <w:rPr>
          <w:sz w:val="24"/>
        </w:rPr>
        <w:t>如在使用过程中发生问题，乙方在接到甲方通知后在</w:t>
      </w:r>
      <w:r>
        <w:rPr>
          <w:sz w:val="24"/>
        </w:rPr>
        <w:tab/>
      </w:r>
      <w:r>
        <w:rPr>
          <w:sz w:val="24"/>
        </w:rPr>
        <w:t>小时内到达甲方现场。</w:t>
      </w:r>
    </w:p>
    <w:p>
      <w:pPr>
        <w:pStyle w:val="8"/>
        <w:spacing w:before="6"/>
        <w:rPr>
          <w:sz w:val="22"/>
        </w:rPr>
      </w:pPr>
    </w:p>
    <w:p>
      <w:pPr>
        <w:pStyle w:val="13"/>
        <w:numPr>
          <w:ilvl w:val="0"/>
          <w:numId w:val="8"/>
        </w:numPr>
        <w:tabs>
          <w:tab w:val="left" w:pos="1101"/>
        </w:tabs>
        <w:spacing w:line="367" w:lineRule="auto"/>
        <w:ind w:left="858" w:right="1151" w:firstLine="0"/>
        <w:rPr>
          <w:sz w:val="24"/>
        </w:rPr>
      </w:pPr>
      <w:r>
        <w:rPr>
          <w:spacing w:val="-12"/>
          <w:sz w:val="24"/>
        </w:rPr>
        <w:t>在服务质量保证期内，乙方应对出现的质量及安全问题负责处理解决并承担一切费</w:t>
      </w:r>
      <w:r>
        <w:rPr>
          <w:sz w:val="24"/>
        </w:rPr>
        <w:t>用。</w:t>
      </w:r>
    </w:p>
    <w:p>
      <w:pPr>
        <w:pStyle w:val="8"/>
        <w:spacing w:before="122"/>
        <w:ind w:left="858"/>
      </w:pPr>
      <w:r>
        <w:t>十二、违约责任</w:t>
      </w:r>
    </w:p>
    <w:p>
      <w:pPr>
        <w:pStyle w:val="8"/>
        <w:spacing w:before="4"/>
        <w:rPr>
          <w:sz w:val="22"/>
        </w:rPr>
      </w:pPr>
    </w:p>
    <w:p>
      <w:pPr>
        <w:pStyle w:val="13"/>
        <w:numPr>
          <w:ilvl w:val="0"/>
          <w:numId w:val="9"/>
        </w:numPr>
        <w:tabs>
          <w:tab w:val="left" w:pos="1101"/>
        </w:tabs>
        <w:spacing w:line="369" w:lineRule="auto"/>
        <w:ind w:right="863" w:firstLine="0"/>
        <w:jc w:val="both"/>
        <w:rPr>
          <w:sz w:val="24"/>
        </w:rPr>
      </w:pPr>
      <w:r>
        <w:rPr>
          <w:sz w:val="24"/>
        </w:rPr>
        <w:t>甲方无正当理由拒绝接收服务的，甲方向乙方偿付合同款项百分之 五 作为违约金。</w:t>
      </w:r>
    </w:p>
    <w:p>
      <w:pPr>
        <w:pStyle w:val="13"/>
        <w:numPr>
          <w:ilvl w:val="0"/>
          <w:numId w:val="9"/>
        </w:numPr>
        <w:tabs>
          <w:tab w:val="left" w:pos="1101"/>
        </w:tabs>
        <w:spacing w:before="118" w:line="364" w:lineRule="auto"/>
        <w:ind w:right="863" w:firstLine="0"/>
        <w:jc w:val="both"/>
        <w:rPr>
          <w:sz w:val="24"/>
        </w:rPr>
      </w:pPr>
      <w:r>
        <w:rPr>
          <w:spacing w:val="-1"/>
          <w:sz w:val="24"/>
        </w:rPr>
        <w:t>甲方无故逾期验收和办理款项支付手续的，甲方应按逾期付款总额每日万分之 五</w:t>
      </w:r>
      <w:r>
        <w:rPr>
          <w:sz w:val="24"/>
        </w:rPr>
        <w:t>向乙方支付违约金。</w:t>
      </w:r>
    </w:p>
    <w:p>
      <w:pPr>
        <w:pStyle w:val="13"/>
        <w:numPr>
          <w:ilvl w:val="0"/>
          <w:numId w:val="9"/>
        </w:numPr>
        <w:tabs>
          <w:tab w:val="left" w:pos="1101"/>
        </w:tabs>
        <w:spacing w:before="129" w:line="367" w:lineRule="auto"/>
        <w:ind w:right="853" w:firstLine="0"/>
        <w:jc w:val="both"/>
        <w:rPr>
          <w:sz w:val="24"/>
        </w:rPr>
      </w:pPr>
      <w:r>
        <w:rPr>
          <w:spacing w:val="-5"/>
          <w:sz w:val="24"/>
        </w:rPr>
        <w:t>乙方未能如期提供服务的，每日向甲方支付合同款项的千分之 六 作为违约金。乙</w:t>
      </w:r>
      <w:r>
        <w:rPr>
          <w:spacing w:val="-3"/>
          <w:sz w:val="24"/>
        </w:rPr>
        <w:t xml:space="preserve">方超过约定日期 </w:t>
      </w:r>
      <w:r>
        <w:rPr>
          <w:sz w:val="24"/>
        </w:rPr>
        <w:t>10</w:t>
      </w:r>
      <w:r>
        <w:rPr>
          <w:spacing w:val="-5"/>
          <w:sz w:val="24"/>
        </w:rPr>
        <w:t xml:space="preserve"> 个工作日仍不能提供服务的，甲方可解除本合同，不予退还履约保证金，如造成甲方损失超过履约保证金的，超出部分由乙方继续承担赔偿责任。</w:t>
      </w:r>
    </w:p>
    <w:p>
      <w:pPr>
        <w:pStyle w:val="13"/>
        <w:numPr>
          <w:ilvl w:val="0"/>
          <w:numId w:val="9"/>
        </w:numPr>
        <w:tabs>
          <w:tab w:val="left" w:pos="1101"/>
        </w:tabs>
        <w:spacing w:before="122" w:line="369" w:lineRule="auto"/>
        <w:ind w:right="942" w:firstLine="0"/>
        <w:rPr>
          <w:sz w:val="24"/>
        </w:rPr>
      </w:pPr>
      <w:r>
        <w:rPr>
          <w:spacing w:val="-8"/>
          <w:sz w:val="24"/>
        </w:rPr>
        <w:t>供方在服务项目验收合格之日起保修期内违反本合同有关承诺保证的，需方将有权不予退还质量保证金，损失赔偿不足部分，由乙方承担赔偿。</w:t>
      </w:r>
    </w:p>
    <w:p>
      <w:pPr>
        <w:pStyle w:val="13"/>
        <w:numPr>
          <w:ilvl w:val="0"/>
          <w:numId w:val="9"/>
        </w:numPr>
        <w:tabs>
          <w:tab w:val="left" w:pos="1101"/>
        </w:tabs>
        <w:spacing w:before="116" w:line="369" w:lineRule="auto"/>
        <w:ind w:right="856" w:firstLine="0"/>
        <w:jc w:val="both"/>
        <w:rPr>
          <w:sz w:val="24"/>
        </w:rPr>
      </w:pPr>
      <w:r>
        <w:rPr>
          <w:spacing w:val="-5"/>
          <w:sz w:val="24"/>
        </w:rPr>
        <w:t>如发现乙方违反招投标文件和合同的有关规定，甲方有权根据约定和《杭州市政府</w:t>
      </w:r>
      <w:r>
        <w:rPr>
          <w:spacing w:val="-3"/>
          <w:sz w:val="24"/>
        </w:rPr>
        <w:t>采购供应商合同履行和售后服务考核暂行办法》，对乙方进行处罚，并有权提前终止合同。</w:t>
      </w:r>
    </w:p>
    <w:p>
      <w:pPr>
        <w:pStyle w:val="8"/>
        <w:spacing w:before="115"/>
        <w:ind w:left="858"/>
      </w:pPr>
      <w:r>
        <w:t>十三、争议的解决</w:t>
      </w:r>
    </w:p>
    <w:p>
      <w:pPr>
        <w:pStyle w:val="8"/>
        <w:spacing w:before="4"/>
        <w:rPr>
          <w:sz w:val="22"/>
        </w:rPr>
      </w:pPr>
    </w:p>
    <w:p>
      <w:pPr>
        <w:pStyle w:val="8"/>
        <w:ind w:left="858"/>
      </w:pPr>
      <w:r>
        <w:t>因本合同引起的或与本合同有关的任何争议，合同双方应首先通过协商解决，达成书</w:t>
      </w:r>
    </w:p>
    <w:p>
      <w:pPr>
        <w:sectPr>
          <w:pgSz w:w="11910" w:h="16840"/>
          <w:pgMar w:top="1260" w:right="420" w:bottom="1220" w:left="980" w:header="887" w:footer="1039" w:gutter="0"/>
          <w:cols w:space="720" w:num="1"/>
        </w:sectPr>
      </w:pPr>
    </w:p>
    <w:p>
      <w:pPr>
        <w:pStyle w:val="8"/>
        <w:tabs>
          <w:tab w:val="left" w:pos="5418"/>
        </w:tabs>
        <w:spacing w:before="128"/>
        <w:ind w:left="858"/>
      </w:pPr>
      <w:r>
        <w:t>面协议，如协商不成，可选择下列第</w:t>
      </w:r>
      <w:r>
        <w:tab/>
      </w:r>
      <w:r>
        <w:t>种方式解决。</w:t>
      </w:r>
    </w:p>
    <w:p>
      <w:pPr>
        <w:pStyle w:val="8"/>
        <w:spacing w:before="4"/>
        <w:rPr>
          <w:sz w:val="22"/>
        </w:rPr>
      </w:pPr>
    </w:p>
    <w:p>
      <w:pPr>
        <w:pStyle w:val="13"/>
        <w:numPr>
          <w:ilvl w:val="0"/>
          <w:numId w:val="10"/>
        </w:numPr>
        <w:tabs>
          <w:tab w:val="left" w:pos="1461"/>
        </w:tabs>
        <w:spacing w:line="369" w:lineRule="auto"/>
        <w:ind w:right="920" w:firstLine="0"/>
        <w:rPr>
          <w:sz w:val="24"/>
        </w:rPr>
      </w:pPr>
      <w:r>
        <w:rPr>
          <w:spacing w:val="-3"/>
          <w:sz w:val="24"/>
        </w:rPr>
        <w:t>提请杭州仲裁委员会按照该会仲裁规则进行仲裁，仲裁裁决是终局的，对合同双方均有约束力。</w:t>
      </w:r>
    </w:p>
    <w:p>
      <w:pPr>
        <w:pStyle w:val="13"/>
        <w:numPr>
          <w:ilvl w:val="0"/>
          <w:numId w:val="10"/>
        </w:numPr>
        <w:tabs>
          <w:tab w:val="left" w:pos="1461"/>
        </w:tabs>
        <w:spacing w:before="118" w:line="460" w:lineRule="auto"/>
        <w:ind w:right="5476" w:firstLine="0"/>
        <w:rPr>
          <w:sz w:val="24"/>
        </w:rPr>
      </w:pPr>
      <w:r>
        <w:rPr>
          <w:spacing w:val="-3"/>
          <w:sz w:val="24"/>
        </w:rPr>
        <w:t>向有管辖权的人民法院提起诉讼。十四、合同生效</w:t>
      </w:r>
    </w:p>
    <w:p>
      <w:pPr>
        <w:pStyle w:val="13"/>
        <w:numPr>
          <w:ilvl w:val="0"/>
          <w:numId w:val="11"/>
        </w:numPr>
        <w:tabs>
          <w:tab w:val="left" w:pos="1101"/>
        </w:tabs>
        <w:spacing w:before="8"/>
        <w:rPr>
          <w:sz w:val="24"/>
        </w:rPr>
      </w:pPr>
      <w:r>
        <w:rPr>
          <w:sz w:val="24"/>
        </w:rPr>
        <w:t>中标方持中标通知书作为与需方签订合同的凭证。</w:t>
      </w:r>
    </w:p>
    <w:p>
      <w:pPr>
        <w:pStyle w:val="8"/>
        <w:spacing w:before="3"/>
        <w:rPr>
          <w:sz w:val="22"/>
        </w:rPr>
      </w:pPr>
    </w:p>
    <w:p>
      <w:pPr>
        <w:pStyle w:val="13"/>
        <w:numPr>
          <w:ilvl w:val="0"/>
          <w:numId w:val="11"/>
        </w:numPr>
        <w:tabs>
          <w:tab w:val="left" w:pos="1101"/>
        </w:tabs>
        <w:spacing w:line="369" w:lineRule="auto"/>
        <w:ind w:left="858" w:right="913" w:firstLine="0"/>
        <w:rPr>
          <w:sz w:val="24"/>
        </w:rPr>
      </w:pPr>
      <w:r>
        <w:rPr>
          <w:sz w:val="24"/>
        </w:rPr>
        <w:t>本合同经需、供双方法定代表人（符合浙财采监【2013】24</w:t>
      </w:r>
      <w:r>
        <w:rPr>
          <w:spacing w:val="-6"/>
          <w:sz w:val="24"/>
        </w:rPr>
        <w:t xml:space="preserve"> 号第六条规定的为负</w:t>
      </w:r>
      <w:r>
        <w:rPr>
          <w:spacing w:val="-4"/>
          <w:sz w:val="24"/>
        </w:rPr>
        <w:t>责人</w:t>
      </w:r>
      <w:r>
        <w:rPr>
          <w:spacing w:val="-3"/>
          <w:sz w:val="24"/>
        </w:rPr>
        <w:t>）</w:t>
      </w:r>
      <w:r>
        <w:rPr>
          <w:spacing w:val="-5"/>
          <w:sz w:val="24"/>
        </w:rPr>
        <w:t>或其授权委托人签字并加盖单位公章后生效。</w:t>
      </w:r>
    </w:p>
    <w:p>
      <w:pPr>
        <w:pStyle w:val="8"/>
        <w:tabs>
          <w:tab w:val="left" w:pos="5178"/>
        </w:tabs>
        <w:spacing w:before="116"/>
        <w:ind w:left="858"/>
      </w:pPr>
      <w:r>
        <w:t>需方（盖章）：</w:t>
      </w:r>
      <w:r>
        <w:tab/>
      </w:r>
      <w:r>
        <w:t>供方（盖章）：</w:t>
      </w:r>
    </w:p>
    <w:p>
      <w:pPr>
        <w:pStyle w:val="8"/>
        <w:spacing w:before="3"/>
        <w:rPr>
          <w:sz w:val="22"/>
        </w:rPr>
      </w:pPr>
    </w:p>
    <w:p>
      <w:pPr>
        <w:pStyle w:val="8"/>
        <w:tabs>
          <w:tab w:val="left" w:pos="5058"/>
        </w:tabs>
        <w:ind w:left="858"/>
      </w:pPr>
      <w:r>
        <w:t>地址：</w:t>
      </w:r>
      <w:r>
        <w:tab/>
      </w:r>
      <w:r>
        <w:t>地址：</w:t>
      </w:r>
    </w:p>
    <w:p>
      <w:pPr>
        <w:pStyle w:val="8"/>
        <w:spacing w:before="4"/>
        <w:rPr>
          <w:sz w:val="22"/>
        </w:rPr>
      </w:pPr>
    </w:p>
    <w:p>
      <w:pPr>
        <w:pStyle w:val="8"/>
        <w:tabs>
          <w:tab w:val="left" w:pos="5058"/>
        </w:tabs>
        <w:spacing w:line="465" w:lineRule="auto"/>
        <w:ind w:left="858" w:right="1609"/>
      </w:pPr>
      <w:r>
        <w:t>法定代表人（或委托代理人）签名：</w:t>
      </w:r>
      <w:r>
        <w:tab/>
      </w:r>
      <w:r>
        <w:t>法定代表人（或委托代理人）签名</w:t>
      </w:r>
      <w:r>
        <w:rPr>
          <w:spacing w:val="-16"/>
        </w:rPr>
        <w:t xml:space="preserve">： </w:t>
      </w:r>
      <w:r>
        <w:t>联系电话：</w:t>
      </w:r>
      <w:r>
        <w:tab/>
      </w:r>
      <w:r>
        <w:t>联系电话：</w:t>
      </w:r>
    </w:p>
    <w:p>
      <w:pPr>
        <w:pStyle w:val="8"/>
        <w:tabs>
          <w:tab w:val="left" w:pos="5058"/>
        </w:tabs>
        <w:spacing w:line="307" w:lineRule="exact"/>
        <w:ind w:left="858"/>
      </w:pPr>
      <w:r>
        <w:t>邮政编码：</w:t>
      </w:r>
      <w:r>
        <w:tab/>
      </w:r>
      <w:r>
        <w:t>邮政编码：</w:t>
      </w:r>
    </w:p>
    <w:p>
      <w:pPr>
        <w:pStyle w:val="8"/>
        <w:spacing w:before="9"/>
        <w:rPr>
          <w:sz w:val="21"/>
        </w:rPr>
      </w:pPr>
    </w:p>
    <w:p>
      <w:pPr>
        <w:pStyle w:val="8"/>
        <w:tabs>
          <w:tab w:val="left" w:pos="5058"/>
        </w:tabs>
        <w:ind w:left="858"/>
      </w:pPr>
      <w:r>
        <w:t>开户银行：</w:t>
      </w:r>
      <w:r>
        <w:tab/>
      </w:r>
      <w:r>
        <w:t>开户银行：</w:t>
      </w:r>
    </w:p>
    <w:p>
      <w:pPr>
        <w:pStyle w:val="8"/>
        <w:spacing w:before="6"/>
        <w:rPr>
          <w:sz w:val="22"/>
        </w:rPr>
      </w:pPr>
    </w:p>
    <w:p>
      <w:pPr>
        <w:pStyle w:val="8"/>
        <w:tabs>
          <w:tab w:val="left" w:pos="5058"/>
        </w:tabs>
        <w:ind w:left="858"/>
      </w:pPr>
      <w:r>
        <w:t>帐号：</w:t>
      </w:r>
      <w:r>
        <w:tab/>
      </w:r>
      <w:r>
        <w:t>帐号：</w:t>
      </w:r>
    </w:p>
    <w:p>
      <w:pPr>
        <w:pStyle w:val="8"/>
      </w:pPr>
    </w:p>
    <w:p>
      <w:pPr>
        <w:pStyle w:val="8"/>
      </w:pPr>
    </w:p>
    <w:p>
      <w:pPr>
        <w:pStyle w:val="8"/>
      </w:pPr>
    </w:p>
    <w:p>
      <w:pPr>
        <w:pStyle w:val="8"/>
      </w:pPr>
    </w:p>
    <w:p>
      <w:pPr>
        <w:pStyle w:val="8"/>
      </w:pPr>
    </w:p>
    <w:p>
      <w:pPr>
        <w:pStyle w:val="8"/>
      </w:pPr>
    </w:p>
    <w:p>
      <w:pPr>
        <w:pStyle w:val="8"/>
        <w:spacing w:before="198"/>
        <w:ind w:left="438"/>
      </w:pPr>
      <w:r>
        <w:t>附件：</w:t>
      </w:r>
    </w:p>
    <w:p>
      <w:pPr>
        <w:sectPr>
          <w:pgSz w:w="11910" w:h="16840"/>
          <w:pgMar w:top="1260" w:right="420" w:bottom="1220" w:left="980" w:header="887" w:footer="1039" w:gutter="0"/>
          <w:cols w:space="720" w:num="1"/>
        </w:sectPr>
      </w:pPr>
    </w:p>
    <w:p>
      <w:pPr>
        <w:pStyle w:val="4"/>
        <w:spacing w:before="133"/>
        <w:ind w:left="3070" w:right="2900"/>
        <w:jc w:val="center"/>
      </w:pPr>
      <w:bookmarkStart w:id="81" w:name="参与公共资源交易活动健康承诺书"/>
      <w:bookmarkEnd w:id="81"/>
      <w:r>
        <w:t>参与公共资源</w:t>
      </w:r>
      <w:r>
        <w:rPr>
          <w:rFonts w:hint="eastAsia"/>
        </w:rPr>
        <w:t>招</w:t>
      </w:r>
      <w:r>
        <w:t>投标活动</w:t>
      </w:r>
    </w:p>
    <w:p>
      <w:pPr>
        <w:pStyle w:val="4"/>
        <w:spacing w:before="133"/>
        <w:ind w:left="3070" w:right="2900"/>
        <w:jc w:val="center"/>
      </w:pPr>
      <w:r>
        <w:t>健康承诺书</w:t>
      </w:r>
    </w:p>
    <w:p>
      <w:pPr>
        <w:pStyle w:val="8"/>
        <w:spacing w:before="9"/>
        <w:rPr>
          <w:sz w:val="26"/>
        </w:rPr>
      </w:pPr>
    </w:p>
    <w:p>
      <w:pPr>
        <w:spacing w:before="58" w:line="489" w:lineRule="auto"/>
        <w:ind w:left="1038" w:right="7669"/>
        <w:rPr>
          <w:sz w:val="30"/>
        </w:rPr>
      </w:pPr>
      <w:r>
        <w:rPr>
          <w:sz w:val="30"/>
        </w:rPr>
        <w:t>我（姓名）： 身份证号：</w:t>
      </w:r>
    </w:p>
    <w:p>
      <w:pPr>
        <w:spacing w:before="4" w:line="489" w:lineRule="auto"/>
        <w:ind w:left="1038" w:right="6769"/>
        <w:rPr>
          <w:sz w:val="30"/>
        </w:rPr>
      </w:pPr>
      <w:r>
        <w:rPr>
          <w:sz w:val="30"/>
        </w:rPr>
        <w:t>所属单位（公司）： 本人现郑重承诺：</w:t>
      </w:r>
    </w:p>
    <w:p>
      <w:pPr>
        <w:spacing w:before="4" w:line="491" w:lineRule="auto"/>
        <w:ind w:left="438" w:right="845" w:firstLine="600"/>
        <w:rPr>
          <w:sz w:val="30"/>
        </w:rPr>
      </w:pPr>
      <w:r>
        <w:rPr>
          <w:sz w:val="30"/>
        </w:rPr>
        <w:t xml:space="preserve">（一）最近 </w:t>
      </w:r>
      <w:r>
        <w:rPr>
          <w:rFonts w:ascii="Times New Roman" w:eastAsia="Times New Roman"/>
          <w:sz w:val="30"/>
        </w:rPr>
        <w:t xml:space="preserve">14 </w:t>
      </w:r>
      <w:r>
        <w:rPr>
          <w:sz w:val="30"/>
        </w:rPr>
        <w:t>天未离开过杭州，未接触过新型冠状病毒感染的疑似或确诊病例；</w:t>
      </w:r>
    </w:p>
    <w:p>
      <w:pPr>
        <w:spacing w:before="3" w:line="489" w:lineRule="auto"/>
        <w:ind w:left="438" w:right="896" w:firstLine="600"/>
        <w:rPr>
          <w:sz w:val="30"/>
        </w:rPr>
      </w:pPr>
      <w:r>
        <w:rPr>
          <w:sz w:val="30"/>
        </w:rPr>
        <w:t>（二</w:t>
      </w:r>
      <w:r>
        <w:rPr>
          <w:spacing w:val="-17"/>
          <w:sz w:val="30"/>
        </w:rPr>
        <w:t>）</w:t>
      </w:r>
      <w:r>
        <w:rPr>
          <w:spacing w:val="-6"/>
          <w:sz w:val="30"/>
        </w:rPr>
        <w:t>不是来自</w:t>
      </w:r>
      <w:r>
        <w:rPr>
          <w:sz w:val="30"/>
        </w:rPr>
        <w:t>（或途经</w:t>
      </w:r>
      <w:r>
        <w:rPr>
          <w:spacing w:val="-15"/>
          <w:sz w:val="30"/>
        </w:rPr>
        <w:t>）</w:t>
      </w:r>
      <w:r>
        <w:rPr>
          <w:spacing w:val="-6"/>
          <w:sz w:val="30"/>
        </w:rPr>
        <w:t>疫情重点地区，或来自</w:t>
      </w:r>
      <w:r>
        <w:rPr>
          <w:sz w:val="30"/>
        </w:rPr>
        <w:t>（或途经</w:t>
      </w:r>
      <w:r>
        <w:rPr>
          <w:spacing w:val="-17"/>
          <w:sz w:val="30"/>
        </w:rPr>
        <w:t>）</w:t>
      </w:r>
      <w:r>
        <w:rPr>
          <w:spacing w:val="-10"/>
          <w:sz w:val="30"/>
        </w:rPr>
        <w:t>疫情</w:t>
      </w:r>
      <w:r>
        <w:rPr>
          <w:spacing w:val="-9"/>
          <w:sz w:val="30"/>
        </w:rPr>
        <w:t xml:space="preserve">重点地区但在杭隔离观察已满 </w:t>
      </w:r>
      <w:r>
        <w:rPr>
          <w:rFonts w:ascii="Times New Roman" w:eastAsia="Times New Roman"/>
          <w:sz w:val="30"/>
        </w:rPr>
        <w:t xml:space="preserve">14 </w:t>
      </w:r>
      <w:r>
        <w:rPr>
          <w:sz w:val="30"/>
        </w:rPr>
        <w:t>天；</w:t>
      </w:r>
    </w:p>
    <w:p>
      <w:pPr>
        <w:spacing w:before="2"/>
        <w:ind w:left="1038"/>
        <w:rPr>
          <w:sz w:val="30"/>
        </w:rPr>
      </w:pPr>
      <w:r>
        <w:rPr>
          <w:sz w:val="30"/>
        </w:rPr>
        <w:t>（三</w:t>
      </w:r>
      <w:r>
        <w:rPr>
          <w:spacing w:val="-84"/>
          <w:sz w:val="30"/>
        </w:rPr>
        <w:t>）</w:t>
      </w:r>
      <w:r>
        <w:rPr>
          <w:spacing w:val="-15"/>
          <w:sz w:val="30"/>
        </w:rPr>
        <w:t>近期无发热、咳嗽、呼吸困难等新型冠状病毒感染可疑症状；</w:t>
      </w:r>
    </w:p>
    <w:p>
      <w:pPr>
        <w:pStyle w:val="8"/>
        <w:spacing w:before="5"/>
        <w:rPr>
          <w:sz w:val="31"/>
        </w:rPr>
      </w:pPr>
    </w:p>
    <w:p>
      <w:pPr>
        <w:ind w:left="1038"/>
        <w:rPr>
          <w:sz w:val="30"/>
        </w:rPr>
      </w:pPr>
      <w:r>
        <w:rPr>
          <w:sz w:val="30"/>
        </w:rPr>
        <w:t>（四）杭州健康码显示为绿色。</w:t>
      </w:r>
    </w:p>
    <w:p>
      <w:pPr>
        <w:pStyle w:val="8"/>
        <w:spacing w:before="6"/>
        <w:rPr>
          <w:sz w:val="31"/>
        </w:rPr>
      </w:pPr>
    </w:p>
    <w:p>
      <w:pPr>
        <w:spacing w:line="489" w:lineRule="auto"/>
        <w:ind w:left="438" w:right="971" w:firstLine="600"/>
        <w:rPr>
          <w:sz w:val="30"/>
        </w:rPr>
      </w:pPr>
      <w:r>
        <w:rPr>
          <w:sz w:val="30"/>
        </w:rPr>
        <w:t>如上述承诺不实而导致不良后果</w:t>
      </w:r>
      <w:r>
        <w:rPr>
          <w:rFonts w:ascii="Times New Roman" w:eastAsia="Times New Roman"/>
          <w:sz w:val="30"/>
        </w:rPr>
        <w:t>(</w:t>
      </w:r>
      <w:r>
        <w:rPr>
          <w:sz w:val="30"/>
        </w:rPr>
        <w:t>如：出现疫情防控重大风险，出现确诊病例等</w:t>
      </w:r>
      <w:r>
        <w:rPr>
          <w:rFonts w:ascii="Times New Roman" w:eastAsia="Times New Roman"/>
          <w:sz w:val="30"/>
        </w:rPr>
        <w:t>)</w:t>
      </w:r>
      <w:r>
        <w:rPr>
          <w:sz w:val="30"/>
        </w:rPr>
        <w:t>的，本人自愿承担相关法律责任。</w:t>
      </w:r>
    </w:p>
    <w:p>
      <w:pPr>
        <w:pStyle w:val="8"/>
        <w:rPr>
          <w:sz w:val="32"/>
        </w:rPr>
      </w:pPr>
    </w:p>
    <w:p>
      <w:pPr>
        <w:pStyle w:val="8"/>
        <w:spacing w:before="8"/>
        <w:rPr>
          <w:sz w:val="22"/>
        </w:rPr>
      </w:pPr>
    </w:p>
    <w:p>
      <w:pPr>
        <w:spacing w:line="489" w:lineRule="auto"/>
        <w:ind w:left="1038" w:right="8269"/>
        <w:rPr>
          <w:sz w:val="30"/>
        </w:rPr>
      </w:pPr>
      <w:r>
        <w:rPr>
          <w:sz w:val="30"/>
        </w:rPr>
        <w:t>承诺人： 时间：</w:t>
      </w:r>
    </w:p>
    <w:sectPr>
      <w:pgSz w:w="11910" w:h="16840"/>
      <w:pgMar w:top="1260" w:right="420" w:bottom="1220" w:left="980" w:header="887" w:footer="103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3609340</wp:posOffset>
              </wp:positionH>
              <wp:positionV relativeFrom="page">
                <wp:posOffset>9893935</wp:posOffset>
              </wp:positionV>
              <wp:extent cx="422275" cy="158115"/>
              <wp:effectExtent l="0" t="0" r="0" b="0"/>
              <wp:wrapNone/>
              <wp:docPr id="2" name="Quad Arrow 2"/>
              <wp:cNvGraphicFramePr/>
              <a:graphic xmlns:a="http://schemas.openxmlformats.org/drawingml/2006/main">
                <a:graphicData uri="http://schemas.microsoft.com/office/word/2010/wordprocessingShape">
                  <wps:wsp>
                    <wps:cNvSpPr txBox="1"/>
                    <wps:spPr>
                      <a:xfrm>
                        <a:off x="0" y="0"/>
                        <a:ext cx="42227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pacing w:val="-29"/>
                              <w:sz w:val="21"/>
                            </w:rPr>
                            <w:t xml:space="preserve">第 </w:t>
                          </w:r>
                          <w:r>
                            <w:fldChar w:fldCharType="begin"/>
                          </w:r>
                          <w:r>
                            <w:rPr>
                              <w:sz w:val="21"/>
                            </w:rPr>
                            <w:instrText xml:space="preserve"> PAGE </w:instrText>
                          </w:r>
                          <w:r>
                            <w:fldChar w:fldCharType="separate"/>
                          </w:r>
                          <w:r>
                            <w:rPr>
                              <w:sz w:val="21"/>
                            </w:rPr>
                            <w:t>4</w:t>
                          </w:r>
                          <w:r>
                            <w:fldChar w:fldCharType="end"/>
                          </w:r>
                          <w:r>
                            <w:rPr>
                              <w:spacing w:val="-55"/>
                              <w:sz w:val="21"/>
                            </w:rPr>
                            <w:t xml:space="preserve"> </w:t>
                          </w:r>
                          <w:r>
                            <w:rPr>
                              <w:rFonts w:hint="eastAsia" w:ascii="仿宋" w:eastAsia="仿宋"/>
                              <w:sz w:val="21"/>
                            </w:rPr>
                            <w:t>页</w:t>
                          </w:r>
                        </w:p>
                      </w:txbxContent>
                    </wps:txbx>
                    <wps:bodyPr lIns="0" tIns="0" rIns="0" bIns="0" upright="1"/>
                  </wps:wsp>
                </a:graphicData>
              </a:graphic>
            </wp:anchor>
          </w:drawing>
        </mc:Choice>
        <mc:Fallback>
          <w:pict>
            <v:shape id="Quad Arrow 2" o:spid="_x0000_s1026" o:spt="202" type="#_x0000_t202" style="position:absolute;left:0pt;margin-left:284.2pt;margin-top:779.05pt;height:12.45pt;width:33.25pt;mso-position-horizontal-relative:page;mso-position-vertical-relative:page;z-index:-251656192;mso-width-relative:page;mso-height-relative:page;" filled="f" stroked="f" coordsize="21600,21600" o:gfxdata="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CuJm&#10;ANsAAAANAQAADwAAAAAAAAABACAAAAAiAAAAZHJzL2Rvd25yZXYueG1sUEsBAhQAFAAAAAgAh07i&#10;QP9iXaitAQAAcgMAAA4AAAAAAAAAAQAgAAAAKgEAAGRycy9lMm9Eb2MueG1sUEsFBgAAAAAGAAYA&#10;WQEAAEkFA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pacing w:val="-29"/>
                        <w:sz w:val="21"/>
                      </w:rPr>
                      <w:t xml:space="preserve">第 </w:t>
                    </w:r>
                    <w:r>
                      <w:fldChar w:fldCharType="begin"/>
                    </w:r>
                    <w:r>
                      <w:rPr>
                        <w:sz w:val="21"/>
                      </w:rPr>
                      <w:instrText xml:space="preserve"> PAGE </w:instrText>
                    </w:r>
                    <w:r>
                      <w:fldChar w:fldCharType="separate"/>
                    </w:r>
                    <w:r>
                      <w:rPr>
                        <w:sz w:val="21"/>
                      </w:rPr>
                      <w:t>4</w:t>
                    </w:r>
                    <w:r>
                      <w:fldChar w:fldCharType="end"/>
                    </w:r>
                    <w:r>
                      <w:rPr>
                        <w:spacing w:val="-55"/>
                        <w:sz w:val="21"/>
                      </w:rPr>
                      <w:t xml:space="preserve"> </w:t>
                    </w:r>
                    <w:r>
                      <w:rPr>
                        <w:rFonts w:hint="eastAsia" w:ascii="仿宋" w:eastAsia="仿宋"/>
                        <w:sz w:val="21"/>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3" name="Quad Arrow 3"/>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20</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3" o:spid="_x0000_s1026" o:spt="202" type="#_x0000_t202" style="position:absolute;left:0pt;margin-left:284.2pt;margin-top:779.05pt;height:12.45pt;width:33.45pt;mso-position-horizontal-relative:page;mso-position-vertical-relative:page;z-index:-251655168;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6HbV&#10;VNoAAAANAQAADwAAAAAAAAABACAAAAAiAAAAZHJzL2Rvd25yZXYueG1sUEsBAhQAFAAAAAgAh07i&#10;QLlmqVKuAQAAcgMAAA4AAAAAAAAAAQAgAAAAKQEAAGRycy9lMm9Eb2MueG1sUEsFBgAAAAAGAAYA&#10;WQEAAEkFA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20</w:t>
                    </w:r>
                    <w:r>
                      <w:fldChar w:fldCharType="end"/>
                    </w:r>
                    <w:r>
                      <w:rPr>
                        <w:rFonts w:hint="eastAsia" w:ascii="仿宋" w:eastAsia="仿宋"/>
                        <w:sz w:val="21"/>
                      </w:rPr>
                      <w:t>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4" name="Quad Arrow 4"/>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21</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4" o:spid="_x0000_s1026" o:spt="202" type="#_x0000_t202" style="position:absolute;left:0pt;margin-left:284.2pt;margin-top:779.05pt;height:12.45pt;width:33.45pt;mso-position-horizontal-relative:page;mso-position-vertical-relative:page;z-index:-251654144;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AhGoE3rQEAAHIDAAAOAAAAZHJzL2Uyb0RvYy54bWyt&#10;U01v2zAMvQ/YfxB0bxQH6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Fyv1pvqnjNFqep+UxEmdvHyccCY&#10;PmlwLIOGIy2veCrPX2KaSueS3MvDk7G2LND6vwLEmSMiTz5NmFEaD+NVzgHaC6mxnz1Zma/FDHAG&#10;hxmcAppjT+MUzYWSVlHmvl6bvOs/30vjl19l9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IRqBN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21</w:t>
                    </w:r>
                    <w:r>
                      <w:fldChar w:fldCharType="end"/>
                    </w:r>
                    <w:r>
                      <w:rPr>
                        <w:rFonts w:hint="eastAsia" w:ascii="仿宋" w:eastAsia="仿宋"/>
                        <w:sz w:val="21"/>
                      </w:rP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5" name="Quad Arrow 5"/>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5" o:spid="_x0000_s1026" o:spt="202" type="#_x0000_t202" style="position:absolute;left:0pt;margin-left:284.2pt;margin-top:779.05pt;height:12.45pt;width:33.45pt;mso-position-horizontal-relative:page;mso-position-vertical-relative:page;z-index:-251653120;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DkZr/vrQEAAHIDAAAOAAAAZHJzL2Uyb0RvYy54bWyt&#10;U01v2zAMvQ/YfxB0bxQHz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Lxf3W8q6qIoVa03FWFiFy8fB4zp&#10;kwbHMmg40vKKp/L8JaapdC7JvTw8GWvLAq3/K0CcOSLy5NOEGaXxMF7lHKC9kBr72ZOV+VrMAGdw&#10;mMEpoDn2NE7RXChpFWXu67XJu/7zvTR++VV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5Ga/7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887730</wp:posOffset>
              </wp:positionH>
              <wp:positionV relativeFrom="page">
                <wp:posOffset>546100</wp:posOffset>
              </wp:positionV>
              <wp:extent cx="5867400" cy="172720"/>
              <wp:effectExtent l="0" t="0" r="0" b="0"/>
              <wp:wrapNone/>
              <wp:docPr id="1" name="Quad Arrow 1"/>
              <wp:cNvGraphicFramePr/>
              <a:graphic xmlns:a="http://schemas.openxmlformats.org/drawingml/2006/main">
                <a:graphicData uri="http://schemas.microsoft.com/office/word/2010/wordprocessingShape">
                  <wps:wsp>
                    <wps:cNvSpPr txBox="1"/>
                    <wps:spPr>
                      <a:xfrm>
                        <a:off x="0" y="0"/>
                        <a:ext cx="5867400" cy="172720"/>
                      </a:xfrm>
                      <a:prstGeom prst="rect">
                        <a:avLst/>
                      </a:prstGeom>
                      <a:noFill/>
                      <a:ln>
                        <a:noFill/>
                      </a:ln>
                    </wps:spPr>
                    <wps:txbx>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公开招标文件</w:t>
                          </w:r>
                        </w:p>
                      </w:txbxContent>
                    </wps:txbx>
                    <wps:bodyPr lIns="0" tIns="0" rIns="0" bIns="0" upright="1"/>
                  </wps:wsp>
                </a:graphicData>
              </a:graphic>
            </wp:anchor>
          </w:drawing>
        </mc:Choice>
        <mc:Fallback>
          <w:pict>
            <v:shape id="Quad Arrow 1" o:spid="_x0000_s1026" o:spt="202" type="#_x0000_t202" style="position:absolute;left:0pt;margin-left:69.9pt;margin-top:43pt;height:13.6pt;width:462pt;mso-position-horizontal-relative:page;mso-position-vertical-relative:page;z-index:-251657216;mso-width-relative:page;mso-height-relative:page;" filled="f" stroked="f" coordsize="21600,21600" o:gfxdata="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aX7KXY&#10;AAAACwEAAA8AAAAAAAAAAQAgAAAAIgAAAGRycy9kb3ducmV2LnhtbFBLAQIUABQAAAAIAIdO4kDM&#10;KGMmrgEAAHMDAAAOAAAAAAAAAAEAIAAAACcBAABkcnMvZTJvRG9jLnhtbFBLBQYAAAAABgAGAFkB&#10;AABHBQAAAAA=&#10;">
              <v:fill on="f" focussize="0,0"/>
              <v:stroke on="f"/>
              <v:imagedata o:title=""/>
              <o:lock v:ext="edit" aspectratio="f"/>
              <v:textbox inset="0mm,0mm,0mm,0mm">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公开招标文件</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2"/>
      <w:numFmt w:val="decimal"/>
      <w:lvlText w:val="%1"/>
      <w:lvlJc w:val="left"/>
      <w:pPr>
        <w:ind w:left="980" w:hanging="305"/>
      </w:pPr>
      <w:rPr>
        <w:rFonts w:hint="default"/>
        <w:lang w:val="zh-CN" w:eastAsia="zh-CN" w:bidi="zh-CN"/>
      </w:rPr>
    </w:lvl>
    <w:lvl w:ilvl="1" w:tentative="0">
      <w:start w:val="2"/>
      <w:numFmt w:val="decimal"/>
      <w:lvlText w:val="%1.%2"/>
      <w:lvlJc w:val="left"/>
      <w:pPr>
        <w:ind w:left="980" w:hanging="305"/>
      </w:pPr>
      <w:rPr>
        <w:rFonts w:hint="default" w:ascii="Times New Roman" w:hAnsi="Times New Roman" w:eastAsia="Times New Roman" w:cs="Times New Roman"/>
        <w:spacing w:val="-1"/>
        <w:w w:val="100"/>
        <w:sz w:val="22"/>
        <w:szCs w:val="22"/>
        <w:lang w:val="zh-CN" w:eastAsia="zh-CN" w:bidi="zh-CN"/>
      </w:rPr>
    </w:lvl>
    <w:lvl w:ilvl="2" w:tentative="0">
      <w:start w:val="1"/>
      <w:numFmt w:val="decimal"/>
      <w:lvlText w:val="%3."/>
      <w:lvlJc w:val="left"/>
      <w:pPr>
        <w:ind w:left="438" w:hanging="183"/>
      </w:pPr>
      <w:rPr>
        <w:rFonts w:hint="default" w:ascii="Times New Roman" w:hAnsi="Times New Roman" w:eastAsia="Times New Roman" w:cs="Times New Roman"/>
        <w:spacing w:val="-1"/>
        <w:w w:val="100"/>
        <w:sz w:val="20"/>
        <w:szCs w:val="20"/>
        <w:lang w:val="zh-CN" w:eastAsia="zh-CN" w:bidi="zh-CN"/>
      </w:rPr>
    </w:lvl>
    <w:lvl w:ilvl="3" w:tentative="0">
      <w:start w:val="0"/>
      <w:numFmt w:val="bullet"/>
      <w:lvlText w:val="•"/>
      <w:lvlJc w:val="left"/>
      <w:pPr>
        <w:ind w:left="3097" w:hanging="183"/>
      </w:pPr>
      <w:rPr>
        <w:rFonts w:hint="default"/>
        <w:lang w:val="zh-CN" w:eastAsia="zh-CN" w:bidi="zh-CN"/>
      </w:rPr>
    </w:lvl>
    <w:lvl w:ilvl="4" w:tentative="0">
      <w:start w:val="0"/>
      <w:numFmt w:val="bullet"/>
      <w:lvlText w:val="•"/>
      <w:lvlJc w:val="left"/>
      <w:pPr>
        <w:ind w:left="4156" w:hanging="183"/>
      </w:pPr>
      <w:rPr>
        <w:rFonts w:hint="default"/>
        <w:lang w:val="zh-CN" w:eastAsia="zh-CN" w:bidi="zh-CN"/>
      </w:rPr>
    </w:lvl>
    <w:lvl w:ilvl="5" w:tentative="0">
      <w:start w:val="0"/>
      <w:numFmt w:val="bullet"/>
      <w:lvlText w:val="•"/>
      <w:lvlJc w:val="left"/>
      <w:pPr>
        <w:ind w:left="5215" w:hanging="183"/>
      </w:pPr>
      <w:rPr>
        <w:rFonts w:hint="default"/>
        <w:lang w:val="zh-CN" w:eastAsia="zh-CN" w:bidi="zh-CN"/>
      </w:rPr>
    </w:lvl>
    <w:lvl w:ilvl="6" w:tentative="0">
      <w:start w:val="0"/>
      <w:numFmt w:val="bullet"/>
      <w:lvlText w:val="•"/>
      <w:lvlJc w:val="left"/>
      <w:pPr>
        <w:ind w:left="6274" w:hanging="183"/>
      </w:pPr>
      <w:rPr>
        <w:rFonts w:hint="default"/>
        <w:lang w:val="zh-CN" w:eastAsia="zh-CN" w:bidi="zh-CN"/>
      </w:rPr>
    </w:lvl>
    <w:lvl w:ilvl="7" w:tentative="0">
      <w:start w:val="0"/>
      <w:numFmt w:val="bullet"/>
      <w:lvlText w:val="•"/>
      <w:lvlJc w:val="left"/>
      <w:pPr>
        <w:ind w:left="7333" w:hanging="183"/>
      </w:pPr>
      <w:rPr>
        <w:rFonts w:hint="default"/>
        <w:lang w:val="zh-CN" w:eastAsia="zh-CN" w:bidi="zh-CN"/>
      </w:rPr>
    </w:lvl>
    <w:lvl w:ilvl="8" w:tentative="0">
      <w:start w:val="0"/>
      <w:numFmt w:val="bullet"/>
      <w:lvlText w:val="•"/>
      <w:lvlJc w:val="left"/>
      <w:pPr>
        <w:ind w:left="8392" w:hanging="183"/>
      </w:pPr>
      <w:rPr>
        <w:rFonts w:hint="default"/>
        <w:lang w:val="zh-CN" w:eastAsia="zh-CN" w:bidi="zh-CN"/>
      </w:rPr>
    </w:lvl>
  </w:abstractNum>
  <w:abstractNum w:abstractNumId="1">
    <w:nsid w:val="C8879AEF"/>
    <w:multiLevelType w:val="multilevel"/>
    <w:tmpl w:val="C8879AEF"/>
    <w:lvl w:ilvl="0" w:tentative="0">
      <w:start w:val="1"/>
      <w:numFmt w:val="decimal"/>
      <w:lvlText w:val="%1."/>
      <w:lvlJc w:val="left"/>
      <w:pPr>
        <w:ind w:left="1218" w:hanging="363"/>
      </w:pPr>
      <w:rPr>
        <w:rFonts w:hint="default" w:ascii="宋体" w:hAnsi="宋体" w:eastAsia="宋体" w:cs="宋体"/>
        <w:w w:val="100"/>
        <w:sz w:val="24"/>
        <w:szCs w:val="24"/>
        <w:lang w:val="zh-CN" w:eastAsia="zh-CN" w:bidi="zh-CN"/>
      </w:rPr>
    </w:lvl>
    <w:lvl w:ilvl="1" w:tentative="0">
      <w:start w:val="0"/>
      <w:numFmt w:val="bullet"/>
      <w:lvlText w:val="•"/>
      <w:lvlJc w:val="left"/>
      <w:pPr>
        <w:ind w:left="2149" w:hanging="363"/>
      </w:pPr>
      <w:rPr>
        <w:rFonts w:hint="default"/>
        <w:lang w:val="zh-CN" w:eastAsia="zh-CN" w:bidi="zh-CN"/>
      </w:rPr>
    </w:lvl>
    <w:lvl w:ilvl="2" w:tentative="0">
      <w:start w:val="0"/>
      <w:numFmt w:val="bullet"/>
      <w:lvlText w:val="•"/>
      <w:lvlJc w:val="left"/>
      <w:pPr>
        <w:ind w:left="3078" w:hanging="363"/>
      </w:pPr>
      <w:rPr>
        <w:rFonts w:hint="default"/>
        <w:lang w:val="zh-CN" w:eastAsia="zh-CN" w:bidi="zh-CN"/>
      </w:rPr>
    </w:lvl>
    <w:lvl w:ilvl="3" w:tentative="0">
      <w:start w:val="0"/>
      <w:numFmt w:val="bullet"/>
      <w:lvlText w:val="•"/>
      <w:lvlJc w:val="left"/>
      <w:pPr>
        <w:ind w:left="4007" w:hanging="363"/>
      </w:pPr>
      <w:rPr>
        <w:rFonts w:hint="default"/>
        <w:lang w:val="zh-CN" w:eastAsia="zh-CN" w:bidi="zh-CN"/>
      </w:rPr>
    </w:lvl>
    <w:lvl w:ilvl="4" w:tentative="0">
      <w:start w:val="0"/>
      <w:numFmt w:val="bullet"/>
      <w:lvlText w:val="•"/>
      <w:lvlJc w:val="left"/>
      <w:pPr>
        <w:ind w:left="4936" w:hanging="363"/>
      </w:pPr>
      <w:rPr>
        <w:rFonts w:hint="default"/>
        <w:lang w:val="zh-CN" w:eastAsia="zh-CN" w:bidi="zh-CN"/>
      </w:rPr>
    </w:lvl>
    <w:lvl w:ilvl="5" w:tentative="0">
      <w:start w:val="0"/>
      <w:numFmt w:val="bullet"/>
      <w:lvlText w:val="•"/>
      <w:lvlJc w:val="left"/>
      <w:pPr>
        <w:ind w:left="5865" w:hanging="363"/>
      </w:pPr>
      <w:rPr>
        <w:rFonts w:hint="default"/>
        <w:lang w:val="zh-CN" w:eastAsia="zh-CN" w:bidi="zh-CN"/>
      </w:rPr>
    </w:lvl>
    <w:lvl w:ilvl="6" w:tentative="0">
      <w:start w:val="0"/>
      <w:numFmt w:val="bullet"/>
      <w:lvlText w:val="•"/>
      <w:lvlJc w:val="left"/>
      <w:pPr>
        <w:ind w:left="6794" w:hanging="363"/>
      </w:pPr>
      <w:rPr>
        <w:rFonts w:hint="default"/>
        <w:lang w:val="zh-CN" w:eastAsia="zh-CN" w:bidi="zh-CN"/>
      </w:rPr>
    </w:lvl>
    <w:lvl w:ilvl="7" w:tentative="0">
      <w:start w:val="0"/>
      <w:numFmt w:val="bullet"/>
      <w:lvlText w:val="•"/>
      <w:lvlJc w:val="left"/>
      <w:pPr>
        <w:ind w:left="7723" w:hanging="363"/>
      </w:pPr>
      <w:rPr>
        <w:rFonts w:hint="default"/>
        <w:lang w:val="zh-CN" w:eastAsia="zh-CN" w:bidi="zh-CN"/>
      </w:rPr>
    </w:lvl>
    <w:lvl w:ilvl="8" w:tentative="0">
      <w:start w:val="0"/>
      <w:numFmt w:val="bullet"/>
      <w:lvlText w:val="•"/>
      <w:lvlJc w:val="left"/>
      <w:pPr>
        <w:ind w:left="8652" w:hanging="363"/>
      </w:pPr>
      <w:rPr>
        <w:rFonts w:hint="default"/>
        <w:lang w:val="zh-CN" w:eastAsia="zh-CN" w:bidi="zh-CN"/>
      </w:rPr>
    </w:lvl>
  </w:abstractNum>
  <w:abstractNum w:abstractNumId="2">
    <w:nsid w:val="D7F9FE59"/>
    <w:multiLevelType w:val="multilevel"/>
    <w:tmpl w:val="D7F9FE59"/>
    <w:lvl w:ilvl="0" w:tentative="0">
      <w:start w:val="1"/>
      <w:numFmt w:val="decimal"/>
      <w:lvlText w:val="%1."/>
      <w:lvlJc w:val="left"/>
      <w:pPr>
        <w:ind w:left="1100" w:hanging="245"/>
      </w:pPr>
      <w:rPr>
        <w:rFonts w:hint="default" w:ascii="宋体" w:hAnsi="宋体" w:eastAsia="宋体" w:cs="宋体"/>
        <w:spacing w:val="-1"/>
        <w:w w:val="100"/>
        <w:sz w:val="22"/>
        <w:szCs w:val="22"/>
        <w:lang w:val="zh-CN" w:eastAsia="zh-CN" w:bidi="zh-CN"/>
      </w:rPr>
    </w:lvl>
    <w:lvl w:ilvl="1" w:tentative="0">
      <w:start w:val="0"/>
      <w:numFmt w:val="bullet"/>
      <w:lvlText w:val="•"/>
      <w:lvlJc w:val="left"/>
      <w:pPr>
        <w:ind w:left="2041" w:hanging="245"/>
      </w:pPr>
      <w:rPr>
        <w:rFonts w:hint="default"/>
        <w:lang w:val="zh-CN" w:eastAsia="zh-CN" w:bidi="zh-CN"/>
      </w:rPr>
    </w:lvl>
    <w:lvl w:ilvl="2" w:tentative="0">
      <w:start w:val="0"/>
      <w:numFmt w:val="bullet"/>
      <w:lvlText w:val="•"/>
      <w:lvlJc w:val="left"/>
      <w:pPr>
        <w:ind w:left="2982" w:hanging="245"/>
      </w:pPr>
      <w:rPr>
        <w:rFonts w:hint="default"/>
        <w:lang w:val="zh-CN" w:eastAsia="zh-CN" w:bidi="zh-CN"/>
      </w:rPr>
    </w:lvl>
    <w:lvl w:ilvl="3" w:tentative="0">
      <w:start w:val="0"/>
      <w:numFmt w:val="bullet"/>
      <w:lvlText w:val="•"/>
      <w:lvlJc w:val="left"/>
      <w:pPr>
        <w:ind w:left="3923" w:hanging="245"/>
      </w:pPr>
      <w:rPr>
        <w:rFonts w:hint="default"/>
        <w:lang w:val="zh-CN" w:eastAsia="zh-CN" w:bidi="zh-CN"/>
      </w:rPr>
    </w:lvl>
    <w:lvl w:ilvl="4" w:tentative="0">
      <w:start w:val="0"/>
      <w:numFmt w:val="bullet"/>
      <w:lvlText w:val="•"/>
      <w:lvlJc w:val="left"/>
      <w:pPr>
        <w:ind w:left="4864" w:hanging="245"/>
      </w:pPr>
      <w:rPr>
        <w:rFonts w:hint="default"/>
        <w:lang w:val="zh-CN" w:eastAsia="zh-CN" w:bidi="zh-CN"/>
      </w:rPr>
    </w:lvl>
    <w:lvl w:ilvl="5" w:tentative="0">
      <w:start w:val="0"/>
      <w:numFmt w:val="bullet"/>
      <w:lvlText w:val="•"/>
      <w:lvlJc w:val="left"/>
      <w:pPr>
        <w:ind w:left="5805" w:hanging="245"/>
      </w:pPr>
      <w:rPr>
        <w:rFonts w:hint="default"/>
        <w:lang w:val="zh-CN" w:eastAsia="zh-CN" w:bidi="zh-CN"/>
      </w:rPr>
    </w:lvl>
    <w:lvl w:ilvl="6" w:tentative="0">
      <w:start w:val="0"/>
      <w:numFmt w:val="bullet"/>
      <w:lvlText w:val="•"/>
      <w:lvlJc w:val="left"/>
      <w:pPr>
        <w:ind w:left="6746" w:hanging="245"/>
      </w:pPr>
      <w:rPr>
        <w:rFonts w:hint="default"/>
        <w:lang w:val="zh-CN" w:eastAsia="zh-CN" w:bidi="zh-CN"/>
      </w:rPr>
    </w:lvl>
    <w:lvl w:ilvl="7" w:tentative="0">
      <w:start w:val="0"/>
      <w:numFmt w:val="bullet"/>
      <w:lvlText w:val="•"/>
      <w:lvlJc w:val="left"/>
      <w:pPr>
        <w:ind w:left="7687" w:hanging="245"/>
      </w:pPr>
      <w:rPr>
        <w:rFonts w:hint="default"/>
        <w:lang w:val="zh-CN" w:eastAsia="zh-CN" w:bidi="zh-CN"/>
      </w:rPr>
    </w:lvl>
    <w:lvl w:ilvl="8" w:tentative="0">
      <w:start w:val="0"/>
      <w:numFmt w:val="bullet"/>
      <w:lvlText w:val="•"/>
      <w:lvlJc w:val="left"/>
      <w:pPr>
        <w:ind w:left="8628" w:hanging="245"/>
      </w:pPr>
      <w:rPr>
        <w:rFonts w:hint="default"/>
        <w:lang w:val="zh-CN" w:eastAsia="zh-CN" w:bidi="zh-CN"/>
      </w:rPr>
    </w:lvl>
  </w:abstractNum>
  <w:abstractNum w:abstractNumId="3">
    <w:nsid w:val="DCBA6B53"/>
    <w:multiLevelType w:val="multilevel"/>
    <w:tmpl w:val="DCBA6B53"/>
    <w:lvl w:ilvl="0" w:tentative="0">
      <w:start w:val="1"/>
      <w:numFmt w:val="decimal"/>
      <w:lvlText w:val="（%1）"/>
      <w:lvlJc w:val="left"/>
      <w:pPr>
        <w:ind w:left="858" w:hanging="603"/>
      </w:pPr>
      <w:rPr>
        <w:rFonts w:hint="default" w:ascii="宋体" w:hAnsi="宋体" w:eastAsia="宋体" w:cs="宋体"/>
        <w:spacing w:val="-3"/>
        <w:w w:val="100"/>
        <w:sz w:val="22"/>
        <w:szCs w:val="22"/>
        <w:lang w:val="zh-CN" w:eastAsia="zh-CN" w:bidi="zh-CN"/>
      </w:rPr>
    </w:lvl>
    <w:lvl w:ilvl="1" w:tentative="0">
      <w:start w:val="0"/>
      <w:numFmt w:val="bullet"/>
      <w:lvlText w:val="•"/>
      <w:lvlJc w:val="left"/>
      <w:pPr>
        <w:ind w:left="1825" w:hanging="603"/>
      </w:pPr>
      <w:rPr>
        <w:rFonts w:hint="default"/>
        <w:lang w:val="zh-CN" w:eastAsia="zh-CN" w:bidi="zh-CN"/>
      </w:rPr>
    </w:lvl>
    <w:lvl w:ilvl="2" w:tentative="0">
      <w:start w:val="0"/>
      <w:numFmt w:val="bullet"/>
      <w:lvlText w:val="•"/>
      <w:lvlJc w:val="left"/>
      <w:pPr>
        <w:ind w:left="2790" w:hanging="603"/>
      </w:pPr>
      <w:rPr>
        <w:rFonts w:hint="default"/>
        <w:lang w:val="zh-CN" w:eastAsia="zh-CN" w:bidi="zh-CN"/>
      </w:rPr>
    </w:lvl>
    <w:lvl w:ilvl="3" w:tentative="0">
      <w:start w:val="0"/>
      <w:numFmt w:val="bullet"/>
      <w:lvlText w:val="•"/>
      <w:lvlJc w:val="left"/>
      <w:pPr>
        <w:ind w:left="3755" w:hanging="603"/>
      </w:pPr>
      <w:rPr>
        <w:rFonts w:hint="default"/>
        <w:lang w:val="zh-CN" w:eastAsia="zh-CN" w:bidi="zh-CN"/>
      </w:rPr>
    </w:lvl>
    <w:lvl w:ilvl="4" w:tentative="0">
      <w:start w:val="0"/>
      <w:numFmt w:val="bullet"/>
      <w:lvlText w:val="•"/>
      <w:lvlJc w:val="left"/>
      <w:pPr>
        <w:ind w:left="4720" w:hanging="603"/>
      </w:pPr>
      <w:rPr>
        <w:rFonts w:hint="default"/>
        <w:lang w:val="zh-CN" w:eastAsia="zh-CN" w:bidi="zh-CN"/>
      </w:rPr>
    </w:lvl>
    <w:lvl w:ilvl="5" w:tentative="0">
      <w:start w:val="0"/>
      <w:numFmt w:val="bullet"/>
      <w:lvlText w:val="•"/>
      <w:lvlJc w:val="left"/>
      <w:pPr>
        <w:ind w:left="5685" w:hanging="603"/>
      </w:pPr>
      <w:rPr>
        <w:rFonts w:hint="default"/>
        <w:lang w:val="zh-CN" w:eastAsia="zh-CN" w:bidi="zh-CN"/>
      </w:rPr>
    </w:lvl>
    <w:lvl w:ilvl="6" w:tentative="0">
      <w:start w:val="0"/>
      <w:numFmt w:val="bullet"/>
      <w:lvlText w:val="•"/>
      <w:lvlJc w:val="left"/>
      <w:pPr>
        <w:ind w:left="6650" w:hanging="603"/>
      </w:pPr>
      <w:rPr>
        <w:rFonts w:hint="default"/>
        <w:lang w:val="zh-CN" w:eastAsia="zh-CN" w:bidi="zh-CN"/>
      </w:rPr>
    </w:lvl>
    <w:lvl w:ilvl="7" w:tentative="0">
      <w:start w:val="0"/>
      <w:numFmt w:val="bullet"/>
      <w:lvlText w:val="•"/>
      <w:lvlJc w:val="left"/>
      <w:pPr>
        <w:ind w:left="7615" w:hanging="603"/>
      </w:pPr>
      <w:rPr>
        <w:rFonts w:hint="default"/>
        <w:lang w:val="zh-CN" w:eastAsia="zh-CN" w:bidi="zh-CN"/>
      </w:rPr>
    </w:lvl>
    <w:lvl w:ilvl="8" w:tentative="0">
      <w:start w:val="0"/>
      <w:numFmt w:val="bullet"/>
      <w:lvlText w:val="•"/>
      <w:lvlJc w:val="left"/>
      <w:pPr>
        <w:ind w:left="8580" w:hanging="603"/>
      </w:pPr>
      <w:rPr>
        <w:rFonts w:hint="default"/>
        <w:lang w:val="zh-CN" w:eastAsia="zh-CN" w:bidi="zh-CN"/>
      </w:rPr>
    </w:lvl>
  </w:abstractNum>
  <w:abstractNum w:abstractNumId="4">
    <w:nsid w:val="F4B5D9F5"/>
    <w:multiLevelType w:val="multilevel"/>
    <w:tmpl w:val="F4B5D9F5"/>
    <w:lvl w:ilvl="0" w:tentative="0">
      <w:start w:val="1"/>
      <w:numFmt w:val="decimal"/>
      <w:lvlText w:val="%1."/>
      <w:lvlJc w:val="left"/>
      <w:pPr>
        <w:ind w:left="1218" w:hanging="363"/>
      </w:pPr>
      <w:rPr>
        <w:rFonts w:hint="default" w:ascii="宋体" w:hAnsi="宋体" w:eastAsia="宋体" w:cs="宋体"/>
        <w:w w:val="100"/>
        <w:sz w:val="24"/>
        <w:szCs w:val="24"/>
        <w:lang w:val="zh-CN" w:eastAsia="zh-CN" w:bidi="zh-CN"/>
      </w:rPr>
    </w:lvl>
    <w:lvl w:ilvl="1" w:tentative="0">
      <w:start w:val="0"/>
      <w:numFmt w:val="bullet"/>
      <w:lvlText w:val="•"/>
      <w:lvlJc w:val="left"/>
      <w:pPr>
        <w:ind w:left="2149" w:hanging="363"/>
      </w:pPr>
      <w:rPr>
        <w:rFonts w:hint="default"/>
        <w:lang w:val="zh-CN" w:eastAsia="zh-CN" w:bidi="zh-CN"/>
      </w:rPr>
    </w:lvl>
    <w:lvl w:ilvl="2" w:tentative="0">
      <w:start w:val="0"/>
      <w:numFmt w:val="bullet"/>
      <w:lvlText w:val="•"/>
      <w:lvlJc w:val="left"/>
      <w:pPr>
        <w:ind w:left="3078" w:hanging="363"/>
      </w:pPr>
      <w:rPr>
        <w:rFonts w:hint="default"/>
        <w:lang w:val="zh-CN" w:eastAsia="zh-CN" w:bidi="zh-CN"/>
      </w:rPr>
    </w:lvl>
    <w:lvl w:ilvl="3" w:tentative="0">
      <w:start w:val="0"/>
      <w:numFmt w:val="bullet"/>
      <w:lvlText w:val="•"/>
      <w:lvlJc w:val="left"/>
      <w:pPr>
        <w:ind w:left="4007" w:hanging="363"/>
      </w:pPr>
      <w:rPr>
        <w:rFonts w:hint="default"/>
        <w:lang w:val="zh-CN" w:eastAsia="zh-CN" w:bidi="zh-CN"/>
      </w:rPr>
    </w:lvl>
    <w:lvl w:ilvl="4" w:tentative="0">
      <w:start w:val="0"/>
      <w:numFmt w:val="bullet"/>
      <w:lvlText w:val="•"/>
      <w:lvlJc w:val="left"/>
      <w:pPr>
        <w:ind w:left="4936" w:hanging="363"/>
      </w:pPr>
      <w:rPr>
        <w:rFonts w:hint="default"/>
        <w:lang w:val="zh-CN" w:eastAsia="zh-CN" w:bidi="zh-CN"/>
      </w:rPr>
    </w:lvl>
    <w:lvl w:ilvl="5" w:tentative="0">
      <w:start w:val="0"/>
      <w:numFmt w:val="bullet"/>
      <w:lvlText w:val="•"/>
      <w:lvlJc w:val="left"/>
      <w:pPr>
        <w:ind w:left="5865" w:hanging="363"/>
      </w:pPr>
      <w:rPr>
        <w:rFonts w:hint="default"/>
        <w:lang w:val="zh-CN" w:eastAsia="zh-CN" w:bidi="zh-CN"/>
      </w:rPr>
    </w:lvl>
    <w:lvl w:ilvl="6" w:tentative="0">
      <w:start w:val="0"/>
      <w:numFmt w:val="bullet"/>
      <w:lvlText w:val="•"/>
      <w:lvlJc w:val="left"/>
      <w:pPr>
        <w:ind w:left="6794" w:hanging="363"/>
      </w:pPr>
      <w:rPr>
        <w:rFonts w:hint="default"/>
        <w:lang w:val="zh-CN" w:eastAsia="zh-CN" w:bidi="zh-CN"/>
      </w:rPr>
    </w:lvl>
    <w:lvl w:ilvl="7" w:tentative="0">
      <w:start w:val="0"/>
      <w:numFmt w:val="bullet"/>
      <w:lvlText w:val="•"/>
      <w:lvlJc w:val="left"/>
      <w:pPr>
        <w:ind w:left="7723" w:hanging="363"/>
      </w:pPr>
      <w:rPr>
        <w:rFonts w:hint="default"/>
        <w:lang w:val="zh-CN" w:eastAsia="zh-CN" w:bidi="zh-CN"/>
      </w:rPr>
    </w:lvl>
    <w:lvl w:ilvl="8" w:tentative="0">
      <w:start w:val="0"/>
      <w:numFmt w:val="bullet"/>
      <w:lvlText w:val="•"/>
      <w:lvlJc w:val="left"/>
      <w:pPr>
        <w:ind w:left="8652" w:hanging="363"/>
      </w:pPr>
      <w:rPr>
        <w:rFonts w:hint="default"/>
        <w:lang w:val="zh-CN" w:eastAsia="zh-CN" w:bidi="zh-CN"/>
      </w:rPr>
    </w:lvl>
  </w:abstractNum>
  <w:abstractNum w:abstractNumId="5">
    <w:nsid w:val="0053208E"/>
    <w:multiLevelType w:val="multilevel"/>
    <w:tmpl w:val="0053208E"/>
    <w:lvl w:ilvl="0" w:tentative="0">
      <w:start w:val="1"/>
      <w:numFmt w:val="decimal"/>
      <w:lvlText w:val="(%1)"/>
      <w:lvlJc w:val="left"/>
      <w:pPr>
        <w:ind w:left="438" w:hanging="281"/>
      </w:pPr>
      <w:rPr>
        <w:rFonts w:hint="default"/>
        <w:spacing w:val="-2"/>
        <w:w w:val="100"/>
        <w:lang w:val="zh-CN" w:eastAsia="zh-CN" w:bidi="zh-CN"/>
      </w:rPr>
    </w:lvl>
    <w:lvl w:ilvl="1" w:tentative="0">
      <w:start w:val="0"/>
      <w:numFmt w:val="bullet"/>
      <w:lvlText w:val="•"/>
      <w:lvlJc w:val="left"/>
      <w:pPr>
        <w:ind w:left="1447" w:hanging="281"/>
      </w:pPr>
      <w:rPr>
        <w:rFonts w:hint="default"/>
        <w:lang w:val="zh-CN" w:eastAsia="zh-CN" w:bidi="zh-CN"/>
      </w:rPr>
    </w:lvl>
    <w:lvl w:ilvl="2" w:tentative="0">
      <w:start w:val="0"/>
      <w:numFmt w:val="bullet"/>
      <w:lvlText w:val="•"/>
      <w:lvlJc w:val="left"/>
      <w:pPr>
        <w:ind w:left="2454" w:hanging="281"/>
      </w:pPr>
      <w:rPr>
        <w:rFonts w:hint="default"/>
        <w:lang w:val="zh-CN" w:eastAsia="zh-CN" w:bidi="zh-CN"/>
      </w:rPr>
    </w:lvl>
    <w:lvl w:ilvl="3" w:tentative="0">
      <w:start w:val="0"/>
      <w:numFmt w:val="bullet"/>
      <w:lvlText w:val="•"/>
      <w:lvlJc w:val="left"/>
      <w:pPr>
        <w:ind w:left="3461" w:hanging="281"/>
      </w:pPr>
      <w:rPr>
        <w:rFonts w:hint="default"/>
        <w:lang w:val="zh-CN" w:eastAsia="zh-CN" w:bidi="zh-CN"/>
      </w:rPr>
    </w:lvl>
    <w:lvl w:ilvl="4" w:tentative="0">
      <w:start w:val="0"/>
      <w:numFmt w:val="bullet"/>
      <w:lvlText w:val="•"/>
      <w:lvlJc w:val="left"/>
      <w:pPr>
        <w:ind w:left="4468" w:hanging="281"/>
      </w:pPr>
      <w:rPr>
        <w:rFonts w:hint="default"/>
        <w:lang w:val="zh-CN" w:eastAsia="zh-CN" w:bidi="zh-CN"/>
      </w:rPr>
    </w:lvl>
    <w:lvl w:ilvl="5" w:tentative="0">
      <w:start w:val="0"/>
      <w:numFmt w:val="bullet"/>
      <w:lvlText w:val="•"/>
      <w:lvlJc w:val="left"/>
      <w:pPr>
        <w:ind w:left="5475" w:hanging="281"/>
      </w:pPr>
      <w:rPr>
        <w:rFonts w:hint="default"/>
        <w:lang w:val="zh-CN" w:eastAsia="zh-CN" w:bidi="zh-CN"/>
      </w:rPr>
    </w:lvl>
    <w:lvl w:ilvl="6" w:tentative="0">
      <w:start w:val="0"/>
      <w:numFmt w:val="bullet"/>
      <w:lvlText w:val="•"/>
      <w:lvlJc w:val="left"/>
      <w:pPr>
        <w:ind w:left="6482" w:hanging="281"/>
      </w:pPr>
      <w:rPr>
        <w:rFonts w:hint="default"/>
        <w:lang w:val="zh-CN" w:eastAsia="zh-CN" w:bidi="zh-CN"/>
      </w:rPr>
    </w:lvl>
    <w:lvl w:ilvl="7" w:tentative="0">
      <w:start w:val="0"/>
      <w:numFmt w:val="bullet"/>
      <w:lvlText w:val="•"/>
      <w:lvlJc w:val="left"/>
      <w:pPr>
        <w:ind w:left="7489" w:hanging="281"/>
      </w:pPr>
      <w:rPr>
        <w:rFonts w:hint="default"/>
        <w:lang w:val="zh-CN" w:eastAsia="zh-CN" w:bidi="zh-CN"/>
      </w:rPr>
    </w:lvl>
    <w:lvl w:ilvl="8" w:tentative="0">
      <w:start w:val="0"/>
      <w:numFmt w:val="bullet"/>
      <w:lvlText w:val="•"/>
      <w:lvlJc w:val="left"/>
      <w:pPr>
        <w:ind w:left="8496" w:hanging="281"/>
      </w:pPr>
      <w:rPr>
        <w:rFonts w:hint="default"/>
        <w:lang w:val="zh-CN" w:eastAsia="zh-CN" w:bidi="zh-CN"/>
      </w:rPr>
    </w:lvl>
  </w:abstractNum>
  <w:abstractNum w:abstractNumId="6">
    <w:nsid w:val="0248C179"/>
    <w:multiLevelType w:val="multilevel"/>
    <w:tmpl w:val="0248C179"/>
    <w:lvl w:ilvl="0" w:tentative="0">
      <w:start w:val="1"/>
      <w:numFmt w:val="decimal"/>
      <w:lvlText w:val="%1."/>
      <w:lvlJc w:val="left"/>
      <w:pPr>
        <w:ind w:left="4619" w:hanging="4500"/>
      </w:pPr>
      <w:rPr>
        <w:rFonts w:hint="default" w:ascii="宋体" w:hAnsi="宋体" w:eastAsia="宋体" w:cs="宋体"/>
        <w:b/>
        <w:bCs/>
        <w:spacing w:val="0"/>
        <w:w w:val="96"/>
        <w:sz w:val="26"/>
        <w:szCs w:val="26"/>
        <w:lang w:val="zh-CN" w:eastAsia="zh-CN" w:bidi="zh-CN"/>
      </w:rPr>
    </w:lvl>
    <w:lvl w:ilvl="1" w:tentative="0">
      <w:start w:val="1"/>
      <w:numFmt w:val="decimal"/>
      <w:lvlText w:val="%2."/>
      <w:lvlJc w:val="left"/>
      <w:pPr>
        <w:ind w:left="1160" w:hanging="365"/>
      </w:pPr>
      <w:rPr>
        <w:rFonts w:hint="default" w:ascii="宋体" w:hAnsi="宋体" w:eastAsia="宋体" w:cs="宋体"/>
        <w:b/>
        <w:bCs/>
        <w:spacing w:val="0"/>
        <w:w w:val="97"/>
        <w:sz w:val="22"/>
        <w:szCs w:val="22"/>
        <w:lang w:val="zh-CN" w:eastAsia="zh-CN" w:bidi="zh-CN"/>
      </w:rPr>
    </w:lvl>
    <w:lvl w:ilvl="2" w:tentative="0">
      <w:start w:val="1"/>
      <w:numFmt w:val="decimal"/>
      <w:lvlText w:val="（%3）"/>
      <w:lvlJc w:val="left"/>
      <w:pPr>
        <w:ind w:left="1520" w:hanging="605"/>
      </w:pPr>
      <w:rPr>
        <w:rFonts w:hint="default" w:ascii="宋体" w:hAnsi="宋体" w:eastAsia="宋体" w:cs="宋体"/>
        <w:spacing w:val="-10"/>
        <w:w w:val="100"/>
        <w:sz w:val="22"/>
        <w:szCs w:val="22"/>
        <w:lang w:val="zh-CN" w:eastAsia="zh-CN" w:bidi="zh-CN"/>
      </w:rPr>
    </w:lvl>
    <w:lvl w:ilvl="3" w:tentative="0">
      <w:start w:val="0"/>
      <w:numFmt w:val="bullet"/>
      <w:lvlText w:val="•"/>
      <w:lvlJc w:val="left"/>
      <w:pPr>
        <w:ind w:left="5356" w:hanging="605"/>
      </w:pPr>
      <w:rPr>
        <w:rFonts w:hint="default"/>
        <w:lang w:val="zh-CN" w:eastAsia="zh-CN" w:bidi="zh-CN"/>
      </w:rPr>
    </w:lvl>
    <w:lvl w:ilvl="4" w:tentative="0">
      <w:start w:val="0"/>
      <w:numFmt w:val="bullet"/>
      <w:lvlText w:val="•"/>
      <w:lvlJc w:val="left"/>
      <w:pPr>
        <w:ind w:left="6092" w:hanging="605"/>
      </w:pPr>
      <w:rPr>
        <w:rFonts w:hint="default"/>
        <w:lang w:val="zh-CN" w:eastAsia="zh-CN" w:bidi="zh-CN"/>
      </w:rPr>
    </w:lvl>
    <w:lvl w:ilvl="5" w:tentative="0">
      <w:start w:val="0"/>
      <w:numFmt w:val="bullet"/>
      <w:lvlText w:val="•"/>
      <w:lvlJc w:val="left"/>
      <w:pPr>
        <w:ind w:left="6828" w:hanging="605"/>
      </w:pPr>
      <w:rPr>
        <w:rFonts w:hint="default"/>
        <w:lang w:val="zh-CN" w:eastAsia="zh-CN" w:bidi="zh-CN"/>
      </w:rPr>
    </w:lvl>
    <w:lvl w:ilvl="6" w:tentative="0">
      <w:start w:val="0"/>
      <w:numFmt w:val="bullet"/>
      <w:lvlText w:val="•"/>
      <w:lvlJc w:val="left"/>
      <w:pPr>
        <w:ind w:left="7565" w:hanging="605"/>
      </w:pPr>
      <w:rPr>
        <w:rFonts w:hint="default"/>
        <w:lang w:val="zh-CN" w:eastAsia="zh-CN" w:bidi="zh-CN"/>
      </w:rPr>
    </w:lvl>
    <w:lvl w:ilvl="7" w:tentative="0">
      <w:start w:val="0"/>
      <w:numFmt w:val="bullet"/>
      <w:lvlText w:val="•"/>
      <w:lvlJc w:val="left"/>
      <w:pPr>
        <w:ind w:left="8301" w:hanging="605"/>
      </w:pPr>
      <w:rPr>
        <w:rFonts w:hint="default"/>
        <w:lang w:val="zh-CN" w:eastAsia="zh-CN" w:bidi="zh-CN"/>
      </w:rPr>
    </w:lvl>
    <w:lvl w:ilvl="8" w:tentative="0">
      <w:start w:val="0"/>
      <w:numFmt w:val="bullet"/>
      <w:lvlText w:val="•"/>
      <w:lvlJc w:val="left"/>
      <w:pPr>
        <w:ind w:left="9037" w:hanging="605"/>
      </w:pPr>
      <w:rPr>
        <w:rFonts w:hint="default"/>
        <w:lang w:val="zh-CN" w:eastAsia="zh-CN" w:bidi="zh-CN"/>
      </w:rPr>
    </w:lvl>
  </w:abstractNum>
  <w:abstractNum w:abstractNumId="7">
    <w:nsid w:val="2470EC97"/>
    <w:multiLevelType w:val="multilevel"/>
    <w:tmpl w:val="2470EC97"/>
    <w:lvl w:ilvl="0" w:tentative="0">
      <w:start w:val="1"/>
      <w:numFmt w:val="decimal"/>
      <w:lvlText w:val="%1."/>
      <w:lvlJc w:val="left"/>
      <w:pPr>
        <w:ind w:left="858" w:hanging="243"/>
      </w:pPr>
      <w:rPr>
        <w:rFonts w:hint="default" w:ascii="宋体" w:hAnsi="宋体" w:eastAsia="宋体" w:cs="宋体"/>
        <w:spacing w:val="-1"/>
        <w:w w:val="100"/>
        <w:sz w:val="22"/>
        <w:szCs w:val="22"/>
        <w:lang w:val="zh-CN" w:eastAsia="zh-CN" w:bidi="zh-CN"/>
      </w:rPr>
    </w:lvl>
    <w:lvl w:ilvl="1" w:tentative="0">
      <w:start w:val="0"/>
      <w:numFmt w:val="bullet"/>
      <w:lvlText w:val="•"/>
      <w:lvlJc w:val="left"/>
      <w:pPr>
        <w:ind w:left="1825" w:hanging="243"/>
      </w:pPr>
      <w:rPr>
        <w:rFonts w:hint="default"/>
        <w:lang w:val="zh-CN" w:eastAsia="zh-CN" w:bidi="zh-CN"/>
      </w:rPr>
    </w:lvl>
    <w:lvl w:ilvl="2" w:tentative="0">
      <w:start w:val="0"/>
      <w:numFmt w:val="bullet"/>
      <w:lvlText w:val="•"/>
      <w:lvlJc w:val="left"/>
      <w:pPr>
        <w:ind w:left="2790" w:hanging="243"/>
      </w:pPr>
      <w:rPr>
        <w:rFonts w:hint="default"/>
        <w:lang w:val="zh-CN" w:eastAsia="zh-CN" w:bidi="zh-CN"/>
      </w:rPr>
    </w:lvl>
    <w:lvl w:ilvl="3" w:tentative="0">
      <w:start w:val="0"/>
      <w:numFmt w:val="bullet"/>
      <w:lvlText w:val="•"/>
      <w:lvlJc w:val="left"/>
      <w:pPr>
        <w:ind w:left="3755" w:hanging="243"/>
      </w:pPr>
      <w:rPr>
        <w:rFonts w:hint="default"/>
        <w:lang w:val="zh-CN" w:eastAsia="zh-CN" w:bidi="zh-CN"/>
      </w:rPr>
    </w:lvl>
    <w:lvl w:ilvl="4" w:tentative="0">
      <w:start w:val="0"/>
      <w:numFmt w:val="bullet"/>
      <w:lvlText w:val="•"/>
      <w:lvlJc w:val="left"/>
      <w:pPr>
        <w:ind w:left="4720" w:hanging="243"/>
      </w:pPr>
      <w:rPr>
        <w:rFonts w:hint="default"/>
        <w:lang w:val="zh-CN" w:eastAsia="zh-CN" w:bidi="zh-CN"/>
      </w:rPr>
    </w:lvl>
    <w:lvl w:ilvl="5" w:tentative="0">
      <w:start w:val="0"/>
      <w:numFmt w:val="bullet"/>
      <w:lvlText w:val="•"/>
      <w:lvlJc w:val="left"/>
      <w:pPr>
        <w:ind w:left="5685" w:hanging="243"/>
      </w:pPr>
      <w:rPr>
        <w:rFonts w:hint="default"/>
        <w:lang w:val="zh-CN" w:eastAsia="zh-CN" w:bidi="zh-CN"/>
      </w:rPr>
    </w:lvl>
    <w:lvl w:ilvl="6" w:tentative="0">
      <w:start w:val="0"/>
      <w:numFmt w:val="bullet"/>
      <w:lvlText w:val="•"/>
      <w:lvlJc w:val="left"/>
      <w:pPr>
        <w:ind w:left="6650" w:hanging="243"/>
      </w:pPr>
      <w:rPr>
        <w:rFonts w:hint="default"/>
        <w:lang w:val="zh-CN" w:eastAsia="zh-CN" w:bidi="zh-CN"/>
      </w:rPr>
    </w:lvl>
    <w:lvl w:ilvl="7" w:tentative="0">
      <w:start w:val="0"/>
      <w:numFmt w:val="bullet"/>
      <w:lvlText w:val="•"/>
      <w:lvlJc w:val="left"/>
      <w:pPr>
        <w:ind w:left="7615" w:hanging="243"/>
      </w:pPr>
      <w:rPr>
        <w:rFonts w:hint="default"/>
        <w:lang w:val="zh-CN" w:eastAsia="zh-CN" w:bidi="zh-CN"/>
      </w:rPr>
    </w:lvl>
    <w:lvl w:ilvl="8" w:tentative="0">
      <w:start w:val="0"/>
      <w:numFmt w:val="bullet"/>
      <w:lvlText w:val="•"/>
      <w:lvlJc w:val="left"/>
      <w:pPr>
        <w:ind w:left="8580" w:hanging="243"/>
      </w:pPr>
      <w:rPr>
        <w:rFonts w:hint="default"/>
        <w:lang w:val="zh-CN" w:eastAsia="zh-CN" w:bidi="zh-CN"/>
      </w:rPr>
    </w:lvl>
  </w:abstractNum>
  <w:abstractNum w:abstractNumId="8">
    <w:nsid w:val="2A8F537B"/>
    <w:multiLevelType w:val="multilevel"/>
    <w:tmpl w:val="2A8F537B"/>
    <w:lvl w:ilvl="0" w:tentative="0">
      <w:start w:val="1"/>
      <w:numFmt w:val="decimal"/>
      <w:lvlText w:val="%1."/>
      <w:lvlJc w:val="left"/>
      <w:pPr>
        <w:ind w:left="1100" w:hanging="245"/>
      </w:pPr>
      <w:rPr>
        <w:rFonts w:hint="default" w:ascii="宋体" w:hAnsi="宋体" w:eastAsia="宋体" w:cs="宋体"/>
        <w:spacing w:val="-1"/>
        <w:w w:val="100"/>
        <w:sz w:val="22"/>
        <w:szCs w:val="22"/>
        <w:lang w:val="zh-CN" w:eastAsia="zh-CN" w:bidi="zh-CN"/>
      </w:rPr>
    </w:lvl>
    <w:lvl w:ilvl="1" w:tentative="0">
      <w:start w:val="0"/>
      <w:numFmt w:val="bullet"/>
      <w:lvlText w:val="•"/>
      <w:lvlJc w:val="left"/>
      <w:pPr>
        <w:ind w:left="2041" w:hanging="245"/>
      </w:pPr>
      <w:rPr>
        <w:rFonts w:hint="default"/>
        <w:lang w:val="zh-CN" w:eastAsia="zh-CN" w:bidi="zh-CN"/>
      </w:rPr>
    </w:lvl>
    <w:lvl w:ilvl="2" w:tentative="0">
      <w:start w:val="0"/>
      <w:numFmt w:val="bullet"/>
      <w:lvlText w:val="•"/>
      <w:lvlJc w:val="left"/>
      <w:pPr>
        <w:ind w:left="2982" w:hanging="245"/>
      </w:pPr>
      <w:rPr>
        <w:rFonts w:hint="default"/>
        <w:lang w:val="zh-CN" w:eastAsia="zh-CN" w:bidi="zh-CN"/>
      </w:rPr>
    </w:lvl>
    <w:lvl w:ilvl="3" w:tentative="0">
      <w:start w:val="0"/>
      <w:numFmt w:val="bullet"/>
      <w:lvlText w:val="•"/>
      <w:lvlJc w:val="left"/>
      <w:pPr>
        <w:ind w:left="3923" w:hanging="245"/>
      </w:pPr>
      <w:rPr>
        <w:rFonts w:hint="default"/>
        <w:lang w:val="zh-CN" w:eastAsia="zh-CN" w:bidi="zh-CN"/>
      </w:rPr>
    </w:lvl>
    <w:lvl w:ilvl="4" w:tentative="0">
      <w:start w:val="0"/>
      <w:numFmt w:val="bullet"/>
      <w:lvlText w:val="•"/>
      <w:lvlJc w:val="left"/>
      <w:pPr>
        <w:ind w:left="4864" w:hanging="245"/>
      </w:pPr>
      <w:rPr>
        <w:rFonts w:hint="default"/>
        <w:lang w:val="zh-CN" w:eastAsia="zh-CN" w:bidi="zh-CN"/>
      </w:rPr>
    </w:lvl>
    <w:lvl w:ilvl="5" w:tentative="0">
      <w:start w:val="0"/>
      <w:numFmt w:val="bullet"/>
      <w:lvlText w:val="•"/>
      <w:lvlJc w:val="left"/>
      <w:pPr>
        <w:ind w:left="5805" w:hanging="245"/>
      </w:pPr>
      <w:rPr>
        <w:rFonts w:hint="default"/>
        <w:lang w:val="zh-CN" w:eastAsia="zh-CN" w:bidi="zh-CN"/>
      </w:rPr>
    </w:lvl>
    <w:lvl w:ilvl="6" w:tentative="0">
      <w:start w:val="0"/>
      <w:numFmt w:val="bullet"/>
      <w:lvlText w:val="•"/>
      <w:lvlJc w:val="left"/>
      <w:pPr>
        <w:ind w:left="6746" w:hanging="245"/>
      </w:pPr>
      <w:rPr>
        <w:rFonts w:hint="default"/>
        <w:lang w:val="zh-CN" w:eastAsia="zh-CN" w:bidi="zh-CN"/>
      </w:rPr>
    </w:lvl>
    <w:lvl w:ilvl="7" w:tentative="0">
      <w:start w:val="0"/>
      <w:numFmt w:val="bullet"/>
      <w:lvlText w:val="•"/>
      <w:lvlJc w:val="left"/>
      <w:pPr>
        <w:ind w:left="7687" w:hanging="245"/>
      </w:pPr>
      <w:rPr>
        <w:rFonts w:hint="default"/>
        <w:lang w:val="zh-CN" w:eastAsia="zh-CN" w:bidi="zh-CN"/>
      </w:rPr>
    </w:lvl>
    <w:lvl w:ilvl="8" w:tentative="0">
      <w:start w:val="0"/>
      <w:numFmt w:val="bullet"/>
      <w:lvlText w:val="•"/>
      <w:lvlJc w:val="left"/>
      <w:pPr>
        <w:ind w:left="8628" w:hanging="245"/>
      </w:pPr>
      <w:rPr>
        <w:rFonts w:hint="default"/>
        <w:lang w:val="zh-CN" w:eastAsia="zh-CN" w:bidi="zh-CN"/>
      </w:rPr>
    </w:lvl>
  </w:abstractNum>
  <w:abstractNum w:abstractNumId="9">
    <w:nsid w:val="4D4DC07F"/>
    <w:multiLevelType w:val="multilevel"/>
    <w:tmpl w:val="4D4DC07F"/>
    <w:lvl w:ilvl="0" w:tentative="0">
      <w:start w:val="1"/>
      <w:numFmt w:val="decimal"/>
      <w:lvlText w:val="%1."/>
      <w:lvlJc w:val="left"/>
      <w:pPr>
        <w:ind w:left="1218" w:hanging="363"/>
      </w:pPr>
      <w:rPr>
        <w:rFonts w:hint="default" w:ascii="宋体" w:hAnsi="宋体" w:eastAsia="宋体" w:cs="宋体"/>
        <w:w w:val="100"/>
        <w:sz w:val="24"/>
        <w:szCs w:val="24"/>
        <w:lang w:val="zh-CN" w:eastAsia="zh-CN" w:bidi="zh-CN"/>
      </w:rPr>
    </w:lvl>
    <w:lvl w:ilvl="1" w:tentative="0">
      <w:start w:val="0"/>
      <w:numFmt w:val="bullet"/>
      <w:lvlText w:val="•"/>
      <w:lvlJc w:val="left"/>
      <w:pPr>
        <w:ind w:left="2149" w:hanging="363"/>
      </w:pPr>
      <w:rPr>
        <w:rFonts w:hint="default"/>
        <w:lang w:val="zh-CN" w:eastAsia="zh-CN" w:bidi="zh-CN"/>
      </w:rPr>
    </w:lvl>
    <w:lvl w:ilvl="2" w:tentative="0">
      <w:start w:val="0"/>
      <w:numFmt w:val="bullet"/>
      <w:lvlText w:val="•"/>
      <w:lvlJc w:val="left"/>
      <w:pPr>
        <w:ind w:left="3078" w:hanging="363"/>
      </w:pPr>
      <w:rPr>
        <w:rFonts w:hint="default"/>
        <w:lang w:val="zh-CN" w:eastAsia="zh-CN" w:bidi="zh-CN"/>
      </w:rPr>
    </w:lvl>
    <w:lvl w:ilvl="3" w:tentative="0">
      <w:start w:val="0"/>
      <w:numFmt w:val="bullet"/>
      <w:lvlText w:val="•"/>
      <w:lvlJc w:val="left"/>
      <w:pPr>
        <w:ind w:left="4007" w:hanging="363"/>
      </w:pPr>
      <w:rPr>
        <w:rFonts w:hint="default"/>
        <w:lang w:val="zh-CN" w:eastAsia="zh-CN" w:bidi="zh-CN"/>
      </w:rPr>
    </w:lvl>
    <w:lvl w:ilvl="4" w:tentative="0">
      <w:start w:val="0"/>
      <w:numFmt w:val="bullet"/>
      <w:lvlText w:val="•"/>
      <w:lvlJc w:val="left"/>
      <w:pPr>
        <w:ind w:left="4936" w:hanging="363"/>
      </w:pPr>
      <w:rPr>
        <w:rFonts w:hint="default"/>
        <w:lang w:val="zh-CN" w:eastAsia="zh-CN" w:bidi="zh-CN"/>
      </w:rPr>
    </w:lvl>
    <w:lvl w:ilvl="5" w:tentative="0">
      <w:start w:val="0"/>
      <w:numFmt w:val="bullet"/>
      <w:lvlText w:val="•"/>
      <w:lvlJc w:val="left"/>
      <w:pPr>
        <w:ind w:left="5865" w:hanging="363"/>
      </w:pPr>
      <w:rPr>
        <w:rFonts w:hint="default"/>
        <w:lang w:val="zh-CN" w:eastAsia="zh-CN" w:bidi="zh-CN"/>
      </w:rPr>
    </w:lvl>
    <w:lvl w:ilvl="6" w:tentative="0">
      <w:start w:val="0"/>
      <w:numFmt w:val="bullet"/>
      <w:lvlText w:val="•"/>
      <w:lvlJc w:val="left"/>
      <w:pPr>
        <w:ind w:left="6794" w:hanging="363"/>
      </w:pPr>
      <w:rPr>
        <w:rFonts w:hint="default"/>
        <w:lang w:val="zh-CN" w:eastAsia="zh-CN" w:bidi="zh-CN"/>
      </w:rPr>
    </w:lvl>
    <w:lvl w:ilvl="7" w:tentative="0">
      <w:start w:val="0"/>
      <w:numFmt w:val="bullet"/>
      <w:lvlText w:val="•"/>
      <w:lvlJc w:val="left"/>
      <w:pPr>
        <w:ind w:left="7723" w:hanging="363"/>
      </w:pPr>
      <w:rPr>
        <w:rFonts w:hint="default"/>
        <w:lang w:val="zh-CN" w:eastAsia="zh-CN" w:bidi="zh-CN"/>
      </w:rPr>
    </w:lvl>
    <w:lvl w:ilvl="8" w:tentative="0">
      <w:start w:val="0"/>
      <w:numFmt w:val="bullet"/>
      <w:lvlText w:val="•"/>
      <w:lvlJc w:val="left"/>
      <w:pPr>
        <w:ind w:left="8652" w:hanging="363"/>
      </w:pPr>
      <w:rPr>
        <w:rFonts w:hint="default"/>
        <w:lang w:val="zh-CN" w:eastAsia="zh-CN" w:bidi="zh-CN"/>
      </w:rPr>
    </w:lvl>
  </w:abstractNum>
  <w:abstractNum w:abstractNumId="10">
    <w:nsid w:val="5A241D34"/>
    <w:multiLevelType w:val="multilevel"/>
    <w:tmpl w:val="5A241D34"/>
    <w:lvl w:ilvl="0" w:tentative="0">
      <w:start w:val="1"/>
      <w:numFmt w:val="decimal"/>
      <w:lvlText w:val="%1."/>
      <w:lvlJc w:val="left"/>
      <w:pPr>
        <w:ind w:left="1100" w:hanging="245"/>
      </w:pPr>
      <w:rPr>
        <w:rFonts w:hint="default" w:ascii="宋体" w:hAnsi="宋体" w:eastAsia="宋体" w:cs="宋体"/>
        <w:spacing w:val="-1"/>
        <w:w w:val="100"/>
        <w:sz w:val="22"/>
        <w:szCs w:val="22"/>
        <w:lang w:val="zh-CN" w:eastAsia="zh-CN" w:bidi="zh-CN"/>
      </w:rPr>
    </w:lvl>
    <w:lvl w:ilvl="1" w:tentative="0">
      <w:start w:val="0"/>
      <w:numFmt w:val="bullet"/>
      <w:lvlText w:val="•"/>
      <w:lvlJc w:val="left"/>
      <w:pPr>
        <w:ind w:left="2041" w:hanging="245"/>
      </w:pPr>
      <w:rPr>
        <w:rFonts w:hint="default"/>
        <w:lang w:val="zh-CN" w:eastAsia="zh-CN" w:bidi="zh-CN"/>
      </w:rPr>
    </w:lvl>
    <w:lvl w:ilvl="2" w:tentative="0">
      <w:start w:val="0"/>
      <w:numFmt w:val="bullet"/>
      <w:lvlText w:val="•"/>
      <w:lvlJc w:val="left"/>
      <w:pPr>
        <w:ind w:left="2982" w:hanging="245"/>
      </w:pPr>
      <w:rPr>
        <w:rFonts w:hint="default"/>
        <w:lang w:val="zh-CN" w:eastAsia="zh-CN" w:bidi="zh-CN"/>
      </w:rPr>
    </w:lvl>
    <w:lvl w:ilvl="3" w:tentative="0">
      <w:start w:val="0"/>
      <w:numFmt w:val="bullet"/>
      <w:lvlText w:val="•"/>
      <w:lvlJc w:val="left"/>
      <w:pPr>
        <w:ind w:left="3923" w:hanging="245"/>
      </w:pPr>
      <w:rPr>
        <w:rFonts w:hint="default"/>
        <w:lang w:val="zh-CN" w:eastAsia="zh-CN" w:bidi="zh-CN"/>
      </w:rPr>
    </w:lvl>
    <w:lvl w:ilvl="4" w:tentative="0">
      <w:start w:val="0"/>
      <w:numFmt w:val="bullet"/>
      <w:lvlText w:val="•"/>
      <w:lvlJc w:val="left"/>
      <w:pPr>
        <w:ind w:left="4864" w:hanging="245"/>
      </w:pPr>
      <w:rPr>
        <w:rFonts w:hint="default"/>
        <w:lang w:val="zh-CN" w:eastAsia="zh-CN" w:bidi="zh-CN"/>
      </w:rPr>
    </w:lvl>
    <w:lvl w:ilvl="5" w:tentative="0">
      <w:start w:val="0"/>
      <w:numFmt w:val="bullet"/>
      <w:lvlText w:val="•"/>
      <w:lvlJc w:val="left"/>
      <w:pPr>
        <w:ind w:left="5805" w:hanging="245"/>
      </w:pPr>
      <w:rPr>
        <w:rFonts w:hint="default"/>
        <w:lang w:val="zh-CN" w:eastAsia="zh-CN" w:bidi="zh-CN"/>
      </w:rPr>
    </w:lvl>
    <w:lvl w:ilvl="6" w:tentative="0">
      <w:start w:val="0"/>
      <w:numFmt w:val="bullet"/>
      <w:lvlText w:val="•"/>
      <w:lvlJc w:val="left"/>
      <w:pPr>
        <w:ind w:left="6746" w:hanging="245"/>
      </w:pPr>
      <w:rPr>
        <w:rFonts w:hint="default"/>
        <w:lang w:val="zh-CN" w:eastAsia="zh-CN" w:bidi="zh-CN"/>
      </w:rPr>
    </w:lvl>
    <w:lvl w:ilvl="7" w:tentative="0">
      <w:start w:val="0"/>
      <w:numFmt w:val="bullet"/>
      <w:lvlText w:val="•"/>
      <w:lvlJc w:val="left"/>
      <w:pPr>
        <w:ind w:left="7687" w:hanging="245"/>
      </w:pPr>
      <w:rPr>
        <w:rFonts w:hint="default"/>
        <w:lang w:val="zh-CN" w:eastAsia="zh-CN" w:bidi="zh-CN"/>
      </w:rPr>
    </w:lvl>
    <w:lvl w:ilvl="8" w:tentative="0">
      <w:start w:val="0"/>
      <w:numFmt w:val="bullet"/>
      <w:lvlText w:val="•"/>
      <w:lvlJc w:val="left"/>
      <w:pPr>
        <w:ind w:left="8628" w:hanging="245"/>
      </w:pPr>
      <w:rPr>
        <w:rFonts w:hint="default"/>
        <w:lang w:val="zh-CN" w:eastAsia="zh-CN" w:bidi="zh-CN"/>
      </w:rPr>
    </w:lvl>
  </w:abstractNum>
  <w:num w:numId="1">
    <w:abstractNumId w:val="5"/>
  </w:num>
  <w:num w:numId="2">
    <w:abstractNumId w:val="6"/>
  </w:num>
  <w:num w:numId="3">
    <w:abstractNumId w:val="0"/>
  </w:num>
  <w:num w:numId="4">
    <w:abstractNumId w:val="8"/>
  </w:num>
  <w:num w:numId="5">
    <w:abstractNumId w:val="10"/>
  </w:num>
  <w:num w:numId="6">
    <w:abstractNumId w:val="1"/>
  </w:num>
  <w:num w:numId="7">
    <w:abstractNumId w:val="9"/>
  </w:num>
  <w:num w:numId="8">
    <w:abstractNumId w:val="4"/>
  </w:num>
  <w:num w:numId="9">
    <w:abstractNumId w:val="7"/>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drawingGridHorizontalSpacing w:val="110"/>
  <w:noPunctuationKerning w:val="1"/>
  <w:characterSpacingControl w:val="doNotCompress"/>
  <w:hdrShapeDefaults>
    <o:shapelayout v:ext="edit">
      <o:idmap v:ext="edit" data="3"/>
    </o:shapelayout>
  </w:hdrShapeDefaults>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2ODE0NjVlNjlhMWJkMzc3ZWVlNDlkM2RhM2QzNjAifQ=="/>
  </w:docVars>
  <w:rsids>
    <w:rsidRoot w:val="0097472B"/>
    <w:rsid w:val="00120378"/>
    <w:rsid w:val="00196918"/>
    <w:rsid w:val="001B5D5F"/>
    <w:rsid w:val="002923F1"/>
    <w:rsid w:val="00307149"/>
    <w:rsid w:val="003D5DEC"/>
    <w:rsid w:val="004F182E"/>
    <w:rsid w:val="005C5241"/>
    <w:rsid w:val="005E41B9"/>
    <w:rsid w:val="005F44E0"/>
    <w:rsid w:val="00607E2A"/>
    <w:rsid w:val="007866F5"/>
    <w:rsid w:val="0083203D"/>
    <w:rsid w:val="00835636"/>
    <w:rsid w:val="008A4763"/>
    <w:rsid w:val="0097472B"/>
    <w:rsid w:val="00A71ED9"/>
    <w:rsid w:val="00AF0E74"/>
    <w:rsid w:val="00B05B16"/>
    <w:rsid w:val="00B8761E"/>
    <w:rsid w:val="00D33FF4"/>
    <w:rsid w:val="00DE03B1"/>
    <w:rsid w:val="00ED1FC2"/>
    <w:rsid w:val="07CC2A5E"/>
    <w:rsid w:val="1F687F27"/>
    <w:rsid w:val="255023A4"/>
    <w:rsid w:val="29003A94"/>
    <w:rsid w:val="36411950"/>
    <w:rsid w:val="395E28AA"/>
    <w:rsid w:val="48ED4FF8"/>
    <w:rsid w:val="53154348"/>
    <w:rsid w:val="55CE6753"/>
    <w:rsid w:val="5FEC76CC"/>
    <w:rsid w:val="6E0F16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outlineLvl w:val="0"/>
    </w:pPr>
    <w:rPr>
      <w:b/>
      <w:bCs/>
      <w:sz w:val="32"/>
      <w:szCs w:val="32"/>
    </w:rPr>
  </w:style>
  <w:style w:type="paragraph" w:styleId="3">
    <w:name w:val="heading 2"/>
    <w:basedOn w:val="1"/>
    <w:next w:val="1"/>
    <w:qFormat/>
    <w:uiPriority w:val="1"/>
    <w:pPr>
      <w:spacing w:before="54"/>
      <w:ind w:right="425"/>
      <w:jc w:val="center"/>
      <w:outlineLvl w:val="1"/>
    </w:pPr>
    <w:rPr>
      <w:sz w:val="32"/>
      <w:szCs w:val="32"/>
    </w:rPr>
  </w:style>
  <w:style w:type="paragraph" w:styleId="4">
    <w:name w:val="heading 3"/>
    <w:basedOn w:val="1"/>
    <w:next w:val="1"/>
    <w:qFormat/>
    <w:uiPriority w:val="1"/>
    <w:pPr>
      <w:ind w:left="1038"/>
      <w:outlineLvl w:val="2"/>
    </w:pPr>
    <w:rPr>
      <w:sz w:val="30"/>
      <w:szCs w:val="30"/>
    </w:rPr>
  </w:style>
  <w:style w:type="paragraph" w:styleId="5">
    <w:name w:val="heading 4"/>
    <w:basedOn w:val="1"/>
    <w:next w:val="1"/>
    <w:qFormat/>
    <w:uiPriority w:val="1"/>
    <w:pPr>
      <w:spacing w:before="67"/>
      <w:ind w:left="438" w:hanging="4501"/>
      <w:outlineLvl w:val="3"/>
    </w:pPr>
    <w:rPr>
      <w:b/>
      <w:bCs/>
      <w:sz w:val="28"/>
      <w:szCs w:val="28"/>
    </w:rPr>
  </w:style>
  <w:style w:type="paragraph" w:styleId="6">
    <w:name w:val="heading 5"/>
    <w:basedOn w:val="1"/>
    <w:next w:val="1"/>
    <w:qFormat/>
    <w:uiPriority w:val="1"/>
    <w:pPr>
      <w:spacing w:before="163"/>
      <w:ind w:left="1220"/>
      <w:outlineLvl w:val="4"/>
    </w:pPr>
    <w:rPr>
      <w:b/>
      <w:bCs/>
      <w:sz w:val="24"/>
      <w:szCs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link w:val="17"/>
    <w:qFormat/>
    <w:uiPriority w:val="0"/>
    <w:rPr>
      <w:rFonts w:ascii="Times New Roman" w:hAnsi="Times New Roman" w:cs="Times New Roman"/>
      <w:kern w:val="2"/>
      <w:sz w:val="21"/>
      <w:szCs w:val="24"/>
      <w:lang w:val="en-US" w:bidi="ar-SA"/>
    </w:rPr>
  </w:style>
  <w:style w:type="paragraph" w:styleId="8">
    <w:name w:val="Body Text"/>
    <w:basedOn w:val="1"/>
    <w:qFormat/>
    <w:uiPriority w:val="1"/>
    <w:rPr>
      <w:sz w:val="24"/>
      <w:szCs w:val="24"/>
    </w:rPr>
  </w:style>
  <w:style w:type="paragraph" w:styleId="9">
    <w:name w:val="footer"/>
    <w:basedOn w:val="1"/>
    <w:link w:val="16"/>
    <w:qFormat/>
    <w:uiPriority w:val="0"/>
    <w:pPr>
      <w:tabs>
        <w:tab w:val="center" w:pos="4153"/>
        <w:tab w:val="right" w:pos="8306"/>
      </w:tabs>
      <w:snapToGrid w:val="0"/>
    </w:pPr>
    <w:rPr>
      <w:sz w:val="18"/>
      <w:szCs w:val="18"/>
    </w:rPr>
  </w:style>
  <w:style w:type="paragraph" w:styleId="10">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customStyle="1" w:styleId="13">
    <w:name w:val="列出段落1"/>
    <w:basedOn w:val="1"/>
    <w:qFormat/>
    <w:uiPriority w:val="1"/>
    <w:pPr>
      <w:ind w:left="438" w:firstLine="480"/>
    </w:pPr>
  </w:style>
  <w:style w:type="paragraph" w:customStyle="1" w:styleId="14">
    <w:name w:val="Table Paragraph"/>
    <w:basedOn w:val="1"/>
    <w:qFormat/>
    <w:uiPriority w:val="1"/>
  </w:style>
  <w:style w:type="character" w:customStyle="1" w:styleId="15">
    <w:name w:val="页眉 Char"/>
    <w:basedOn w:val="12"/>
    <w:link w:val="10"/>
    <w:qFormat/>
    <w:uiPriority w:val="0"/>
    <w:rPr>
      <w:rFonts w:ascii="宋体" w:hAnsi="宋体" w:eastAsia="宋体" w:cs="宋体"/>
      <w:sz w:val="18"/>
      <w:szCs w:val="18"/>
      <w:lang w:val="zh-CN" w:bidi="zh-CN"/>
    </w:rPr>
  </w:style>
  <w:style w:type="character" w:customStyle="1" w:styleId="16">
    <w:name w:val="页脚 Char"/>
    <w:basedOn w:val="12"/>
    <w:link w:val="9"/>
    <w:qFormat/>
    <w:uiPriority w:val="0"/>
    <w:rPr>
      <w:rFonts w:ascii="宋体" w:hAnsi="宋体" w:eastAsia="宋体" w:cs="宋体"/>
      <w:sz w:val="18"/>
      <w:szCs w:val="18"/>
      <w:lang w:val="zh-CN" w:bidi="zh-CN"/>
    </w:rPr>
  </w:style>
  <w:style w:type="character" w:customStyle="1" w:styleId="17">
    <w:name w:val="批注文字 Char"/>
    <w:basedOn w:val="12"/>
    <w:link w:val="7"/>
    <w:qFormat/>
    <w:uiPriority w:val="0"/>
    <w:rPr>
      <w:rFonts w:ascii="Times New Roman" w:hAnsi="Times New Roman" w:eastAsia="宋体" w:cs="Times New Roman"/>
      <w:kern w:val="2"/>
      <w:sz w:val="21"/>
      <w:szCs w:val="24"/>
    </w:rPr>
  </w:style>
  <w:style w:type="table" w:customStyle="1" w:styleId="18">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16048</Words>
  <Characters>16842</Characters>
  <Lines>143</Lines>
  <Paragraphs>40</Paragraphs>
  <TotalTime>8</TotalTime>
  <ScaleCrop>false</ScaleCrop>
  <LinksUpToDate>false</LinksUpToDate>
  <CharactersWithSpaces>19137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2021-07-05T07:18:00Z</dcterms:created>
  <dc:creator>郭富城</dc:creator>
  <cp:lastModifiedBy>超超</cp:lastModifiedBy>
  <dcterms:modified xsi:type="dcterms:W3CDTF">2022-04-26T06:44:21Z</dcterms:modified>
  <dc:title>萧山区回澜初级中学外籍教师派遣服务项目</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2021-06-18T00:00:00Z</vt:filetime>
  </property>
  <property fmtid="{D5CDD505-2E9C-101B-9397-08002B2CF9AE}" pid="3" name="Creator">
    <vt:lpwstr>WPS 文字</vt:lpwstr>
  </property>
  <property fmtid="{D5CDD505-2E9C-101B-9397-08002B2CF9AE}" pid="4" name="LastSaved">
    <vt:filetime>2021-07-05T00:00:00Z</vt:filetime>
  </property>
  <property fmtid="{D5CDD505-2E9C-101B-9397-08002B2CF9AE}" pid="5" name="KSOProductBuildVer">
    <vt:lpwstr>2052-11.1.0.11636</vt:lpwstr>
  </property>
  <property fmtid="{D5CDD505-2E9C-101B-9397-08002B2CF9AE}" pid="6" name="ICV">
    <vt:lpwstr>81B5110F654E47F8B68DDB11924824AE</vt:lpwstr>
  </property>
  <property fmtid="{D5CDD505-2E9C-101B-9397-08002B2CF9AE}" pid="7" name="commondata">
    <vt:lpwstr>eyJoZGlkIjoiZjg2ODE0NjVlNjlhMWJkMzc3ZWVlNDlkM2RhM2QzNjAifQ==</vt:lpwstr>
  </property>
</Properties>
</file>