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widowControl/>
        <w:spacing w:beforeAutospacing="1" w:afterAutospacing="1"/>
        <w:jc w:val="center"/>
        <w:outlineLvl w:val="0"/>
        <w:rPr>
          <w:rFonts w:ascii="Times New Roman" w:hAnsi="Times New Roman" w:eastAsia="宋体" w:cs="Times New Roman"/>
          <w:b/>
          <w:bCs/>
          <w:kern w:val="0"/>
          <w:sz w:val="40"/>
          <w:szCs w:val="40"/>
        </w:rPr>
      </w:pPr>
      <w:r>
        <w:rPr>
          <w:rFonts w:hint="eastAsia" w:ascii="Times New Roman" w:hAnsi="Times New Roman" w:eastAsia="宋体" w:cs="Times New Roman"/>
          <w:b/>
          <w:bCs/>
          <w:kern w:val="0"/>
          <w:sz w:val="40"/>
          <w:szCs w:val="40"/>
        </w:rPr>
        <w:t>深圳市宝安职业教育集团第二校区2024年引进外籍教师国际课程服务</w:t>
      </w:r>
    </w:p>
    <w:p>
      <w:pPr>
        <w:widowControl/>
        <w:spacing w:beforeAutospacing="1" w:afterAutospacing="1"/>
        <w:jc w:val="center"/>
        <w:outlineLvl w:val="0"/>
        <w:rPr>
          <w:rFonts w:ascii="黑体" w:hAnsi="宋体" w:eastAsia="黑体" w:cs="黑体"/>
          <w:kern w:val="0"/>
          <w:sz w:val="40"/>
          <w:szCs w:val="40"/>
        </w:rPr>
      </w:pPr>
      <w:r>
        <w:rPr>
          <w:rFonts w:hint="eastAsia" w:ascii="黑体" w:hAnsi="宋体" w:eastAsia="黑体" w:cs="黑体"/>
          <w:kern w:val="0"/>
          <w:sz w:val="40"/>
          <w:szCs w:val="40"/>
        </w:rPr>
        <w:t>招标文件信息</w:t>
      </w:r>
    </w:p>
    <w:p>
      <w:pPr>
        <w:tabs>
          <w:tab w:val="left" w:pos="2790"/>
        </w:tabs>
        <w:snapToGrid w:val="0"/>
        <w:spacing w:line="440" w:lineRule="exact"/>
        <w:jc w:val="left"/>
        <w:rPr>
          <w:rFonts w:asciiTheme="minorEastAsia" w:hAnsiTheme="minorEastAsia"/>
          <w:sz w:val="30"/>
          <w:szCs w:val="30"/>
        </w:rPr>
      </w:pPr>
      <w:r>
        <w:rPr>
          <w:rFonts w:hint="eastAsia" w:asciiTheme="minorEastAsia" w:hAnsiTheme="minorEastAsia"/>
          <w:sz w:val="30"/>
          <w:szCs w:val="30"/>
        </w:rPr>
        <w:t>项目编号：</w:t>
      </w:r>
      <w:r>
        <w:rPr>
          <w:rFonts w:hint="eastAsia" w:asciiTheme="minorEastAsia" w:hAnsiTheme="minorEastAsia"/>
          <w:sz w:val="30"/>
          <w:szCs w:val="30"/>
        </w:rPr>
        <w:tab/>
      </w:r>
      <w:r>
        <w:rPr>
          <w:rFonts w:hint="eastAsia" w:asciiTheme="minorEastAsia" w:hAnsiTheme="minorEastAsia"/>
          <w:sz w:val="30"/>
          <w:szCs w:val="30"/>
        </w:rPr>
        <w:t>BAZXCG-2024-00099</w:t>
      </w:r>
    </w:p>
    <w:p>
      <w:pPr>
        <w:tabs>
          <w:tab w:val="left" w:pos="2790"/>
        </w:tabs>
        <w:snapToGrid w:val="0"/>
        <w:spacing w:line="440" w:lineRule="exact"/>
        <w:jc w:val="left"/>
        <w:rPr>
          <w:rFonts w:asciiTheme="minorEastAsia" w:hAnsiTheme="minorEastAsia"/>
          <w:sz w:val="30"/>
          <w:szCs w:val="30"/>
        </w:rPr>
      </w:pPr>
      <w:r>
        <w:rPr>
          <w:rFonts w:hint="eastAsia" w:asciiTheme="minorEastAsia" w:hAnsiTheme="minorEastAsia"/>
          <w:sz w:val="30"/>
          <w:szCs w:val="30"/>
        </w:rPr>
        <w:t>项目名称：</w:t>
      </w:r>
      <w:r>
        <w:rPr>
          <w:rFonts w:hint="eastAsia" w:asciiTheme="minorEastAsia" w:hAnsiTheme="minorEastAsia"/>
          <w:sz w:val="30"/>
          <w:szCs w:val="30"/>
        </w:rPr>
        <w:tab/>
      </w:r>
      <w:r>
        <w:rPr>
          <w:rFonts w:hint="eastAsia" w:asciiTheme="minorEastAsia" w:hAnsiTheme="minorEastAsia"/>
          <w:sz w:val="30"/>
          <w:szCs w:val="30"/>
        </w:rPr>
        <w:t>深圳市宝安职业教育集团第二校区2024年引进外籍教师国际课程服务</w:t>
      </w:r>
    </w:p>
    <w:p>
      <w:pPr>
        <w:tabs>
          <w:tab w:val="left" w:pos="2790"/>
        </w:tabs>
        <w:snapToGrid w:val="0"/>
        <w:spacing w:line="440" w:lineRule="exact"/>
        <w:jc w:val="left"/>
        <w:rPr>
          <w:rFonts w:asciiTheme="minorEastAsia" w:hAnsiTheme="minorEastAsia"/>
          <w:sz w:val="30"/>
          <w:szCs w:val="30"/>
        </w:rPr>
      </w:pPr>
      <w:r>
        <w:rPr>
          <w:rFonts w:hint="eastAsia" w:asciiTheme="minorEastAsia" w:hAnsiTheme="minorEastAsia"/>
          <w:sz w:val="30"/>
          <w:szCs w:val="30"/>
        </w:rPr>
        <w:t>包号：</w:t>
      </w:r>
      <w:r>
        <w:rPr>
          <w:rFonts w:hint="eastAsia" w:asciiTheme="minorEastAsia" w:hAnsiTheme="minorEastAsia"/>
          <w:sz w:val="30"/>
          <w:szCs w:val="30"/>
        </w:rPr>
        <w:tab/>
      </w:r>
      <w:r>
        <w:rPr>
          <w:rFonts w:hint="eastAsia" w:asciiTheme="minorEastAsia" w:hAnsiTheme="minorEastAsia"/>
          <w:sz w:val="30"/>
          <w:szCs w:val="30"/>
        </w:rPr>
        <w:t>A</w:t>
      </w:r>
    </w:p>
    <w:p>
      <w:pPr>
        <w:tabs>
          <w:tab w:val="left" w:pos="2790"/>
        </w:tabs>
        <w:snapToGrid w:val="0"/>
        <w:spacing w:line="440" w:lineRule="exact"/>
        <w:jc w:val="left"/>
        <w:rPr>
          <w:rFonts w:asciiTheme="minorEastAsia" w:hAnsiTheme="minorEastAsia"/>
          <w:sz w:val="30"/>
          <w:szCs w:val="30"/>
        </w:rPr>
      </w:pPr>
      <w:r>
        <w:rPr>
          <w:rFonts w:hint="eastAsia" w:asciiTheme="minorEastAsia" w:hAnsiTheme="minorEastAsia"/>
          <w:sz w:val="30"/>
          <w:szCs w:val="30"/>
        </w:rPr>
        <w:t>项目类型：</w:t>
      </w:r>
      <w:r>
        <w:rPr>
          <w:rFonts w:hint="eastAsia" w:asciiTheme="minorEastAsia" w:hAnsiTheme="minorEastAsia"/>
          <w:sz w:val="30"/>
          <w:szCs w:val="30"/>
        </w:rPr>
        <w:tab/>
      </w:r>
      <w:r>
        <w:rPr>
          <w:rFonts w:hint="eastAsia" w:asciiTheme="minorEastAsia" w:hAnsiTheme="minorEastAsia"/>
          <w:sz w:val="30"/>
          <w:szCs w:val="30"/>
        </w:rPr>
        <w:t>服务类</w:t>
      </w:r>
    </w:p>
    <w:p>
      <w:pPr>
        <w:tabs>
          <w:tab w:val="left" w:pos="2790"/>
        </w:tabs>
        <w:snapToGrid w:val="0"/>
        <w:spacing w:line="440" w:lineRule="exact"/>
        <w:jc w:val="left"/>
        <w:rPr>
          <w:rFonts w:asciiTheme="minorEastAsia" w:hAnsiTheme="minorEastAsia"/>
          <w:sz w:val="30"/>
          <w:szCs w:val="30"/>
        </w:rPr>
      </w:pPr>
      <w:r>
        <w:rPr>
          <w:rFonts w:hint="eastAsia" w:asciiTheme="minorEastAsia" w:hAnsiTheme="minorEastAsia"/>
          <w:sz w:val="30"/>
          <w:szCs w:val="30"/>
        </w:rPr>
        <w:t>采购方式：</w:t>
      </w:r>
      <w:r>
        <w:rPr>
          <w:rFonts w:hint="eastAsia" w:asciiTheme="minorEastAsia" w:hAnsiTheme="minorEastAsia"/>
          <w:sz w:val="30"/>
          <w:szCs w:val="30"/>
        </w:rPr>
        <w:tab/>
      </w:r>
      <w:r>
        <w:rPr>
          <w:rFonts w:hint="eastAsia" w:asciiTheme="minorEastAsia" w:hAnsiTheme="minorEastAsia"/>
          <w:sz w:val="30"/>
          <w:szCs w:val="30"/>
        </w:rPr>
        <w:t>公开招标</w:t>
      </w:r>
    </w:p>
    <w:p>
      <w:pPr>
        <w:tabs>
          <w:tab w:val="left" w:pos="2790"/>
        </w:tabs>
        <w:snapToGrid w:val="0"/>
        <w:spacing w:line="440" w:lineRule="exact"/>
        <w:jc w:val="left"/>
        <w:rPr>
          <w:rFonts w:asciiTheme="minorEastAsia" w:hAnsiTheme="minorEastAsia"/>
          <w:sz w:val="30"/>
          <w:szCs w:val="30"/>
        </w:rPr>
      </w:pPr>
      <w:r>
        <w:rPr>
          <w:rFonts w:hint="eastAsia" w:asciiTheme="minorEastAsia" w:hAnsiTheme="minorEastAsia"/>
          <w:sz w:val="30"/>
          <w:szCs w:val="30"/>
        </w:rPr>
        <w:t>货币类型：</w:t>
      </w:r>
      <w:r>
        <w:rPr>
          <w:rFonts w:hint="eastAsia" w:asciiTheme="minorEastAsia" w:hAnsiTheme="minorEastAsia"/>
          <w:sz w:val="30"/>
          <w:szCs w:val="30"/>
        </w:rPr>
        <w:tab/>
      </w:r>
      <w:r>
        <w:rPr>
          <w:rFonts w:hint="eastAsia" w:asciiTheme="minorEastAsia" w:hAnsiTheme="minorEastAsia"/>
          <w:sz w:val="30"/>
          <w:szCs w:val="30"/>
        </w:rPr>
        <w:t>人民币</w:t>
      </w:r>
    </w:p>
    <w:p>
      <w:pPr>
        <w:tabs>
          <w:tab w:val="left" w:pos="2790"/>
        </w:tabs>
        <w:snapToGrid w:val="0"/>
        <w:spacing w:line="440" w:lineRule="exact"/>
        <w:jc w:val="left"/>
        <w:rPr>
          <w:rFonts w:asciiTheme="minorEastAsia" w:hAnsiTheme="minorEastAsia"/>
          <w:sz w:val="30"/>
          <w:szCs w:val="30"/>
        </w:rPr>
      </w:pPr>
      <w:r>
        <w:rPr>
          <w:rFonts w:hint="eastAsia" w:asciiTheme="minorEastAsia" w:hAnsiTheme="minorEastAsia"/>
          <w:sz w:val="30"/>
          <w:szCs w:val="30"/>
        </w:rPr>
        <w:t>评标方法：</w:t>
      </w:r>
      <w:r>
        <w:rPr>
          <w:rFonts w:hint="eastAsia" w:asciiTheme="minorEastAsia" w:hAnsiTheme="minorEastAsia"/>
          <w:sz w:val="30"/>
          <w:szCs w:val="30"/>
        </w:rPr>
        <w:tab/>
      </w:r>
      <w:r>
        <w:rPr>
          <w:rFonts w:hint="eastAsia" w:asciiTheme="minorEastAsia" w:hAnsiTheme="minorEastAsia"/>
          <w:sz w:val="30"/>
          <w:szCs w:val="30"/>
        </w:rPr>
        <w:t>综合评分法（新价格分算法）</w:t>
      </w:r>
    </w:p>
    <w:p>
      <w:pPr>
        <w:tabs>
          <w:tab w:val="left" w:pos="2790"/>
        </w:tabs>
        <w:snapToGrid w:val="0"/>
        <w:jc w:val="center"/>
        <w:outlineLvl w:val="0"/>
        <w:rPr>
          <w:rFonts w:ascii="黑体" w:hAnsi="黑体" w:eastAsia="黑体" w:cs="Times New Roman"/>
          <w:sz w:val="40"/>
          <w:szCs w:val="40"/>
        </w:rPr>
      </w:pPr>
      <w:r>
        <w:rPr>
          <w:rFonts w:hint="eastAsia" w:ascii="黑体" w:hAnsi="黑体" w:eastAsia="黑体" w:cs="Times New Roman"/>
          <w:sz w:val="40"/>
          <w:szCs w:val="40"/>
        </w:rPr>
        <w:t>资格性审查表</w:t>
      </w:r>
    </w:p>
    <w:tbl>
      <w:tblPr>
        <w:tblStyle w:val="16"/>
        <w:tblW w:w="9463"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20" w:type="dxa"/>
          <w:left w:w="108" w:type="dxa"/>
          <w:bottom w:w="20" w:type="dxa"/>
          <w:right w:w="108" w:type="dxa"/>
        </w:tblCellMar>
      </w:tblPr>
      <w:tblGrid>
        <w:gridCol w:w="794"/>
        <w:gridCol w:w="8669"/>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0" w:type="dxa"/>
            <w:left w:w="108" w:type="dxa"/>
            <w:bottom w:w="20" w:type="dxa"/>
            <w:right w:w="108" w:type="dxa"/>
          </w:tblCellMar>
        </w:tblPrEx>
        <w:trPr>
          <w:jc w:val="center"/>
        </w:trPr>
        <w:tc>
          <w:tcPr>
            <w:tcW w:w="794" w:type="dxa"/>
            <w:tcBorders>
              <w:top w:val="single" w:color="000000" w:sz="8" w:space="0"/>
              <w:left w:val="single" w:color="000000" w:sz="8" w:space="0"/>
              <w:bottom w:val="single" w:color="000000" w:sz="8" w:space="0"/>
              <w:right w:val="single" w:color="000000" w:sz="8" w:space="0"/>
            </w:tcBorders>
            <w:shd w:val="clear" w:color="auto" w:fill="E6EFFA"/>
            <w:vAlign w:val="center"/>
          </w:tcPr>
          <w:p>
            <w:pPr>
              <w:spacing w:line="290" w:lineRule="exact"/>
              <w:jc w:val="center"/>
              <w:rPr>
                <w:rFonts w:ascii="宋体" w:hAnsi="宋体" w:eastAsia="宋体" w:cs="宋体"/>
                <w:szCs w:val="21"/>
              </w:rPr>
            </w:pPr>
            <w:r>
              <w:rPr>
                <w:rFonts w:ascii="宋体" w:hAnsi="宋体" w:eastAsia="宋体" w:cs="Times New Roman"/>
                <w:szCs w:val="21"/>
              </w:rPr>
              <w:t>序号</w:t>
            </w:r>
          </w:p>
        </w:tc>
        <w:tc>
          <w:tcPr>
            <w:tcW w:w="8669" w:type="dxa"/>
            <w:tcBorders>
              <w:top w:val="single" w:color="000000" w:sz="8" w:space="0"/>
              <w:left w:val="single" w:color="000000" w:sz="8" w:space="0"/>
              <w:bottom w:val="single" w:color="000000" w:sz="8" w:space="0"/>
              <w:right w:val="single" w:color="000000" w:sz="8" w:space="0"/>
            </w:tcBorders>
            <w:shd w:val="clear" w:color="auto" w:fill="E6EFFA"/>
            <w:vAlign w:val="center"/>
          </w:tcPr>
          <w:p>
            <w:pPr>
              <w:spacing w:line="290" w:lineRule="exact"/>
              <w:jc w:val="center"/>
              <w:rPr>
                <w:rFonts w:ascii="宋体" w:hAnsi="宋体" w:eastAsia="宋体" w:cs="宋体"/>
                <w:szCs w:val="21"/>
              </w:rPr>
            </w:pPr>
            <w:r>
              <w:rPr>
                <w:rFonts w:ascii="宋体" w:hAnsi="宋体" w:eastAsia="宋体" w:cs="Times New Roman"/>
                <w:szCs w:val="21"/>
              </w:rPr>
              <w:t>内容</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0" w:type="dxa"/>
            <w:left w:w="108" w:type="dxa"/>
            <w:bottom w:w="20" w:type="dxa"/>
            <w:right w:w="108" w:type="dxa"/>
          </w:tblCellMar>
        </w:tblPrEx>
        <w:trPr>
          <w:jc w:val="center"/>
        </w:trPr>
        <w:tc>
          <w:tcPr>
            <w:tcW w:w="794" w:type="dxa"/>
            <w:tcBorders>
              <w:top w:val="single" w:color="000000" w:sz="8" w:space="0"/>
              <w:left w:val="single" w:color="000000" w:sz="8" w:space="0"/>
              <w:bottom w:val="single" w:color="000000" w:sz="8" w:space="0"/>
              <w:right w:val="single" w:color="000000" w:sz="8" w:space="0"/>
            </w:tcBorders>
          </w:tcPr>
          <w:p>
            <w:pPr>
              <w:spacing w:line="290" w:lineRule="exact"/>
              <w:jc w:val="center"/>
              <w:rPr>
                <w:rFonts w:ascii="宋体" w:hAnsi="宋体" w:eastAsia="宋体" w:cs="宋体"/>
                <w:szCs w:val="21"/>
              </w:rPr>
            </w:pPr>
            <w:r>
              <w:rPr>
                <w:rFonts w:ascii="宋体" w:hAnsi="宋体" w:eastAsia="宋体" w:cs="Times New Roman"/>
                <w:szCs w:val="21"/>
              </w:rPr>
              <w:t>1</w:t>
            </w:r>
          </w:p>
        </w:tc>
        <w:tc>
          <w:tcPr>
            <w:tcW w:w="8669" w:type="dxa"/>
            <w:tcBorders>
              <w:top w:val="single" w:color="000000" w:sz="8" w:space="0"/>
              <w:left w:val="single" w:color="000000" w:sz="8" w:space="0"/>
              <w:bottom w:val="single" w:color="000000" w:sz="8" w:space="0"/>
              <w:right w:val="single" w:color="000000" w:sz="8" w:space="0"/>
            </w:tcBorders>
          </w:tcPr>
          <w:p>
            <w:pPr>
              <w:spacing w:line="290" w:lineRule="exact"/>
              <w:rPr>
                <w:rFonts w:ascii="宋体" w:hAnsi="宋体" w:eastAsia="宋体" w:cs="宋体"/>
                <w:szCs w:val="21"/>
              </w:rPr>
            </w:pPr>
            <w:r>
              <w:rPr>
                <w:rFonts w:ascii="宋体" w:hAnsi="宋体" w:eastAsia="宋体" w:cs="宋体"/>
                <w:kern w:val="0"/>
                <w:szCs w:val="21"/>
              </w:rPr>
              <w:t>投标人不</w:t>
            </w:r>
            <w:r>
              <w:rPr>
                <w:rFonts w:hint="eastAsia" w:ascii="宋体" w:hAnsi="宋体" w:eastAsia="宋体" w:cs="宋体"/>
                <w:kern w:val="0"/>
                <w:szCs w:val="21"/>
              </w:rPr>
              <w:t>符合</w:t>
            </w:r>
            <w:r>
              <w:rPr>
                <w:rFonts w:ascii="宋体" w:hAnsi="宋体" w:eastAsia="宋体" w:cs="宋体"/>
                <w:kern w:val="0"/>
                <w:szCs w:val="21"/>
              </w:rPr>
              <w:t>资格要求，或未提交相应的资格证明资料（详见招标公告</w:t>
            </w:r>
            <w:r>
              <w:rPr>
                <w:rFonts w:hint="eastAsia" w:ascii="宋体" w:hAnsi="宋体" w:eastAsia="宋体" w:cs="Times New Roman"/>
                <w:szCs w:val="21"/>
              </w:rPr>
              <w:t>投标人资格要求，即申请人的资格要求</w:t>
            </w:r>
            <w:r>
              <w:rPr>
                <w:rFonts w:ascii="宋体" w:hAnsi="宋体" w:eastAsia="宋体" w:cs="宋体"/>
                <w:kern w:val="0"/>
                <w:szCs w:val="21"/>
              </w:rPr>
              <w:t>）。</w:t>
            </w:r>
          </w:p>
        </w:tc>
      </w:tr>
    </w:tbl>
    <w:p>
      <w:pPr>
        <w:tabs>
          <w:tab w:val="left" w:pos="2790"/>
        </w:tabs>
        <w:snapToGrid w:val="0"/>
        <w:jc w:val="center"/>
        <w:rPr>
          <w:rFonts w:ascii="黑体" w:hAnsi="黑体" w:eastAsia="黑体" w:cs="Times New Roman"/>
          <w:sz w:val="40"/>
          <w:szCs w:val="40"/>
        </w:rPr>
      </w:pPr>
    </w:p>
    <w:p>
      <w:pPr>
        <w:tabs>
          <w:tab w:val="left" w:pos="2790"/>
        </w:tabs>
        <w:snapToGrid w:val="0"/>
        <w:jc w:val="center"/>
        <w:outlineLvl w:val="0"/>
        <w:rPr>
          <w:rFonts w:ascii="黑体" w:hAnsi="黑体" w:eastAsia="黑体" w:cs="Times New Roman"/>
          <w:sz w:val="40"/>
          <w:szCs w:val="40"/>
        </w:rPr>
      </w:pPr>
      <w:r>
        <w:rPr>
          <w:rFonts w:hint="eastAsia" w:ascii="黑体" w:hAnsi="黑体" w:eastAsia="黑体" w:cs="Times New Roman"/>
          <w:sz w:val="40"/>
          <w:szCs w:val="40"/>
        </w:rPr>
        <w:t>符合性审查表</w:t>
      </w:r>
    </w:p>
    <w:tbl>
      <w:tblPr>
        <w:tblStyle w:val="16"/>
        <w:tblW w:w="9498"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20" w:type="dxa"/>
          <w:left w:w="108" w:type="dxa"/>
          <w:bottom w:w="20" w:type="dxa"/>
          <w:right w:w="108" w:type="dxa"/>
        </w:tblCellMar>
      </w:tblPr>
      <w:tblGrid>
        <w:gridCol w:w="794"/>
        <w:gridCol w:w="8704"/>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0" w:type="dxa"/>
            <w:left w:w="108" w:type="dxa"/>
            <w:bottom w:w="20" w:type="dxa"/>
            <w:right w:w="108" w:type="dxa"/>
          </w:tblCellMar>
        </w:tblPrEx>
        <w:trPr>
          <w:jc w:val="center"/>
        </w:trPr>
        <w:tc>
          <w:tcPr>
            <w:tcW w:w="794" w:type="dxa"/>
            <w:tcBorders>
              <w:top w:val="single" w:color="000000" w:sz="8" w:space="0"/>
              <w:left w:val="single" w:color="000000" w:sz="8" w:space="0"/>
              <w:bottom w:val="single" w:color="000000" w:sz="8" w:space="0"/>
              <w:right w:val="single" w:color="000000" w:sz="8" w:space="0"/>
            </w:tcBorders>
            <w:shd w:val="clear" w:color="auto" w:fill="E6EFFA"/>
            <w:vAlign w:val="center"/>
          </w:tcPr>
          <w:p>
            <w:pPr>
              <w:spacing w:line="290" w:lineRule="exact"/>
              <w:jc w:val="center"/>
              <w:rPr>
                <w:rFonts w:ascii="宋体" w:hAnsi="宋体" w:eastAsia="宋体" w:cs="宋体"/>
                <w:szCs w:val="21"/>
              </w:rPr>
            </w:pPr>
            <w:r>
              <w:rPr>
                <w:rFonts w:ascii="宋体" w:hAnsi="宋体" w:eastAsia="宋体" w:cs="Times New Roman"/>
                <w:szCs w:val="21"/>
              </w:rPr>
              <w:t>序号</w:t>
            </w:r>
          </w:p>
        </w:tc>
        <w:tc>
          <w:tcPr>
            <w:tcW w:w="8704" w:type="dxa"/>
            <w:tcBorders>
              <w:top w:val="single" w:color="000000" w:sz="8" w:space="0"/>
              <w:left w:val="single" w:color="000000" w:sz="8" w:space="0"/>
              <w:bottom w:val="single" w:color="000000" w:sz="8" w:space="0"/>
              <w:right w:val="single" w:color="000000" w:sz="8" w:space="0"/>
            </w:tcBorders>
            <w:shd w:val="clear" w:color="auto" w:fill="E6EFFA"/>
            <w:vAlign w:val="center"/>
          </w:tcPr>
          <w:p>
            <w:pPr>
              <w:spacing w:line="290" w:lineRule="exact"/>
              <w:jc w:val="center"/>
              <w:rPr>
                <w:rFonts w:ascii="宋体" w:hAnsi="宋体" w:eastAsia="宋体" w:cs="宋体"/>
                <w:szCs w:val="21"/>
              </w:rPr>
            </w:pPr>
            <w:r>
              <w:rPr>
                <w:rFonts w:ascii="宋体" w:hAnsi="宋体" w:eastAsia="宋体" w:cs="Times New Roman"/>
                <w:szCs w:val="21"/>
              </w:rPr>
              <w:t>内容</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0" w:type="dxa"/>
            <w:left w:w="108" w:type="dxa"/>
            <w:bottom w:w="20" w:type="dxa"/>
            <w:right w:w="108" w:type="dxa"/>
          </w:tblCellMar>
        </w:tblPrEx>
        <w:trPr>
          <w:jc w:val="center"/>
        </w:trPr>
        <w:tc>
          <w:tcPr>
            <w:tcW w:w="794" w:type="dxa"/>
            <w:tcBorders>
              <w:top w:val="single" w:color="000000" w:sz="8" w:space="0"/>
              <w:left w:val="single" w:color="000000" w:sz="8" w:space="0"/>
              <w:bottom w:val="single" w:color="000000" w:sz="8" w:space="0"/>
              <w:right w:val="single" w:color="000000" w:sz="8" w:space="0"/>
            </w:tcBorders>
          </w:tcPr>
          <w:p>
            <w:pPr>
              <w:spacing w:line="290" w:lineRule="exact"/>
              <w:jc w:val="center"/>
              <w:rPr>
                <w:rFonts w:ascii="Calibri" w:hAnsi="Calibri" w:eastAsia="宋体" w:cs="Times New Roman"/>
              </w:rPr>
            </w:pPr>
            <w:r>
              <w:rPr>
                <w:rFonts w:ascii="Calibri" w:hAnsi="Calibri" w:eastAsia="宋体" w:cs="Times New Roman"/>
              </w:rPr>
              <w:t>1</w:t>
            </w:r>
          </w:p>
        </w:tc>
        <w:tc>
          <w:tcPr>
            <w:tcW w:w="8704" w:type="dxa"/>
            <w:tcBorders>
              <w:top w:val="single" w:color="000000" w:sz="8" w:space="0"/>
              <w:left w:val="single" w:color="000000" w:sz="8" w:space="0"/>
              <w:bottom w:val="single" w:color="000000" w:sz="8" w:space="0"/>
              <w:right w:val="single" w:color="000000" w:sz="8" w:space="0"/>
            </w:tcBorders>
          </w:tcPr>
          <w:p>
            <w:pPr>
              <w:spacing w:line="290" w:lineRule="exact"/>
              <w:rPr>
                <w:rFonts w:ascii="Calibri" w:hAnsi="Calibri" w:eastAsia="宋体" w:cs="Times New Roman"/>
                <w:b/>
                <w:highlight w:val="yellow"/>
              </w:rPr>
            </w:pPr>
            <w:r>
              <w:rPr>
                <w:rFonts w:hint="eastAsia"/>
              </w:rPr>
              <w:t>不得将一个包的内容拆开投标；</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0" w:type="dxa"/>
            <w:left w:w="108" w:type="dxa"/>
            <w:bottom w:w="20" w:type="dxa"/>
            <w:right w:w="108" w:type="dxa"/>
          </w:tblCellMar>
        </w:tblPrEx>
        <w:trPr>
          <w:jc w:val="center"/>
        </w:trPr>
        <w:tc>
          <w:tcPr>
            <w:tcW w:w="794" w:type="dxa"/>
            <w:tcBorders>
              <w:top w:val="single" w:color="000000" w:sz="8" w:space="0"/>
              <w:left w:val="single" w:color="000000" w:sz="8" w:space="0"/>
              <w:bottom w:val="single" w:color="000000" w:sz="8" w:space="0"/>
              <w:right w:val="single" w:color="000000" w:sz="8" w:space="0"/>
            </w:tcBorders>
          </w:tcPr>
          <w:p>
            <w:pPr>
              <w:spacing w:line="290" w:lineRule="exact"/>
              <w:jc w:val="center"/>
              <w:rPr>
                <w:rFonts w:ascii="Calibri" w:hAnsi="Calibri" w:eastAsia="宋体" w:cs="Times New Roman"/>
              </w:rPr>
            </w:pPr>
            <w:r>
              <w:rPr>
                <w:rFonts w:ascii="Calibri" w:hAnsi="Calibri" w:eastAsia="宋体" w:cs="Times New Roman"/>
              </w:rPr>
              <w:t>2</w:t>
            </w:r>
          </w:p>
        </w:tc>
        <w:tc>
          <w:tcPr>
            <w:tcW w:w="8704" w:type="dxa"/>
            <w:tcBorders>
              <w:top w:val="single" w:color="000000" w:sz="8" w:space="0"/>
              <w:left w:val="single" w:color="000000" w:sz="8" w:space="0"/>
              <w:bottom w:val="single" w:color="000000" w:sz="8" w:space="0"/>
              <w:right w:val="single" w:color="000000" w:sz="8" w:space="0"/>
            </w:tcBorders>
          </w:tcPr>
          <w:p>
            <w:pPr>
              <w:spacing w:line="290" w:lineRule="exact"/>
              <w:rPr>
                <w:rFonts w:ascii="Calibri" w:hAnsi="Calibri" w:eastAsia="宋体" w:cs="Times New Roman"/>
              </w:rPr>
            </w:pPr>
            <w:r>
              <w:rPr>
                <w:rFonts w:hint="eastAsia"/>
              </w:rPr>
              <w:t>对同一项目投标时，不得提供两套以上的投标方案（招标文件另有规定的除外）；</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0" w:type="dxa"/>
            <w:left w:w="108" w:type="dxa"/>
            <w:bottom w:w="20" w:type="dxa"/>
            <w:right w:w="108" w:type="dxa"/>
          </w:tblCellMar>
        </w:tblPrEx>
        <w:trPr>
          <w:jc w:val="center"/>
        </w:trPr>
        <w:tc>
          <w:tcPr>
            <w:tcW w:w="794" w:type="dxa"/>
            <w:tcBorders>
              <w:top w:val="single" w:color="000000" w:sz="8" w:space="0"/>
              <w:left w:val="single" w:color="000000" w:sz="8" w:space="0"/>
              <w:bottom w:val="single" w:color="000000" w:sz="8" w:space="0"/>
              <w:right w:val="single" w:color="000000" w:sz="8" w:space="0"/>
            </w:tcBorders>
          </w:tcPr>
          <w:p>
            <w:pPr>
              <w:spacing w:line="290" w:lineRule="exact"/>
              <w:jc w:val="center"/>
              <w:rPr>
                <w:rFonts w:ascii="Calibri" w:hAnsi="Calibri" w:eastAsia="宋体" w:cs="Times New Roman"/>
              </w:rPr>
            </w:pPr>
            <w:r>
              <w:rPr>
                <w:rFonts w:ascii="Calibri" w:hAnsi="Calibri" w:eastAsia="宋体" w:cs="Times New Roman"/>
              </w:rPr>
              <w:t>3</w:t>
            </w:r>
          </w:p>
        </w:tc>
        <w:tc>
          <w:tcPr>
            <w:tcW w:w="8704" w:type="dxa"/>
            <w:tcBorders>
              <w:top w:val="single" w:color="000000" w:sz="8" w:space="0"/>
              <w:left w:val="single" w:color="000000" w:sz="8" w:space="0"/>
              <w:bottom w:val="single" w:color="000000" w:sz="8" w:space="0"/>
              <w:right w:val="single" w:color="000000" w:sz="8" w:space="0"/>
            </w:tcBorders>
          </w:tcPr>
          <w:p>
            <w:pPr>
              <w:spacing w:line="290" w:lineRule="exact"/>
              <w:rPr>
                <w:rFonts w:ascii="Calibri" w:hAnsi="Calibri" w:eastAsia="宋体" w:cs="Times New Roman"/>
              </w:rPr>
            </w:pPr>
            <w:r>
              <w:rPr>
                <w:rFonts w:hint="eastAsia"/>
              </w:rPr>
              <w:t>分项报价或投标总价不得高于</w:t>
            </w:r>
            <w:bookmarkStart w:id="0" w:name="_Hlk71832186"/>
            <w:r>
              <w:rPr>
                <w:rFonts w:hint="eastAsia"/>
              </w:rPr>
              <w:t>相应预算金额（或设定的预算金额下的最高限价）</w:t>
            </w:r>
            <w:bookmarkEnd w:id="0"/>
            <w:r>
              <w:rPr>
                <w:rFonts w:hint="eastAsia" w:ascii="Calibri" w:hAnsi="Calibri" w:eastAsia="宋体" w:cs="Times New Roman"/>
              </w:rPr>
              <w:t>；</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0" w:type="dxa"/>
            <w:left w:w="108" w:type="dxa"/>
            <w:bottom w:w="20" w:type="dxa"/>
            <w:right w:w="108" w:type="dxa"/>
          </w:tblCellMar>
        </w:tblPrEx>
        <w:trPr>
          <w:jc w:val="center"/>
        </w:trPr>
        <w:tc>
          <w:tcPr>
            <w:tcW w:w="794" w:type="dxa"/>
            <w:tcBorders>
              <w:top w:val="single" w:color="000000" w:sz="8" w:space="0"/>
              <w:left w:val="single" w:color="000000" w:sz="8" w:space="0"/>
              <w:bottom w:val="single" w:color="000000" w:sz="8" w:space="0"/>
              <w:right w:val="single" w:color="000000" w:sz="8" w:space="0"/>
            </w:tcBorders>
          </w:tcPr>
          <w:p>
            <w:pPr>
              <w:spacing w:line="290" w:lineRule="exact"/>
              <w:jc w:val="center"/>
              <w:rPr>
                <w:rFonts w:ascii="Calibri" w:hAnsi="Calibri" w:eastAsia="宋体" w:cs="Times New Roman"/>
              </w:rPr>
            </w:pPr>
            <w:r>
              <w:rPr>
                <w:rFonts w:ascii="Calibri" w:hAnsi="Calibri" w:eastAsia="宋体" w:cs="Times New Roman"/>
              </w:rPr>
              <w:t>4</w:t>
            </w:r>
          </w:p>
        </w:tc>
        <w:tc>
          <w:tcPr>
            <w:tcW w:w="8704" w:type="dxa"/>
            <w:tcBorders>
              <w:top w:val="single" w:color="000000" w:sz="8" w:space="0"/>
              <w:left w:val="single" w:color="000000" w:sz="8" w:space="0"/>
              <w:bottom w:val="single" w:color="000000" w:sz="8" w:space="0"/>
              <w:right w:val="single" w:color="000000" w:sz="8" w:space="0"/>
            </w:tcBorders>
          </w:tcPr>
          <w:p>
            <w:pPr>
              <w:spacing w:line="290" w:lineRule="exact"/>
              <w:rPr>
                <w:rFonts w:ascii="Calibri" w:hAnsi="Calibri" w:eastAsia="宋体" w:cs="Times New Roman"/>
              </w:rPr>
            </w:pPr>
            <w:r>
              <w:rPr>
                <w:rFonts w:hint="eastAsia" w:ascii="Calibri" w:hAnsi="Calibri" w:eastAsia="宋体" w:cs="Times New Roman"/>
              </w:rPr>
              <w:t>评审委员会认为投标人的报价明显低于其他通过符合性审查投标人的报价，有可能影响产品质量或者不能诚信履约的，应当要求其在评审现场合理的时间内提供书面说明，必要时提交相关证明材料；在此情况下，投标人仍不能证明其报价合理性的（评审委员会成员对投标人提供的说明材料判断不一致的，按照“少数服从多数”的原则确定评审委员会的意见）；</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0" w:type="dxa"/>
            <w:left w:w="108" w:type="dxa"/>
            <w:bottom w:w="20" w:type="dxa"/>
            <w:right w:w="108" w:type="dxa"/>
          </w:tblCellMar>
        </w:tblPrEx>
        <w:trPr>
          <w:jc w:val="center"/>
        </w:trPr>
        <w:tc>
          <w:tcPr>
            <w:tcW w:w="794" w:type="dxa"/>
            <w:tcBorders>
              <w:top w:val="single" w:color="000000" w:sz="8" w:space="0"/>
              <w:left w:val="single" w:color="000000" w:sz="8" w:space="0"/>
              <w:bottom w:val="single" w:color="000000" w:sz="8" w:space="0"/>
              <w:right w:val="single" w:color="000000" w:sz="8" w:space="0"/>
            </w:tcBorders>
          </w:tcPr>
          <w:p>
            <w:pPr>
              <w:spacing w:line="290" w:lineRule="exact"/>
              <w:jc w:val="center"/>
              <w:rPr>
                <w:rFonts w:ascii="Calibri" w:hAnsi="Calibri" w:eastAsia="宋体" w:cs="Times New Roman"/>
              </w:rPr>
            </w:pPr>
            <w:r>
              <w:rPr>
                <w:rFonts w:ascii="Calibri" w:hAnsi="Calibri" w:eastAsia="宋体" w:cs="Times New Roman"/>
              </w:rPr>
              <w:t>5</w:t>
            </w:r>
          </w:p>
        </w:tc>
        <w:tc>
          <w:tcPr>
            <w:tcW w:w="8704" w:type="dxa"/>
            <w:tcBorders>
              <w:top w:val="single" w:color="000000" w:sz="8" w:space="0"/>
              <w:left w:val="single" w:color="000000" w:sz="8" w:space="0"/>
              <w:bottom w:val="single" w:color="000000" w:sz="8" w:space="0"/>
              <w:right w:val="single" w:color="000000" w:sz="8" w:space="0"/>
            </w:tcBorders>
          </w:tcPr>
          <w:p>
            <w:pPr>
              <w:spacing w:line="290" w:lineRule="exact"/>
              <w:rPr>
                <w:rFonts w:ascii="Calibri" w:hAnsi="Calibri" w:eastAsia="宋体" w:cs="Times New Roman"/>
              </w:rPr>
            </w:pPr>
            <w:r>
              <w:rPr>
                <w:rFonts w:hint="eastAsia"/>
              </w:rPr>
              <w:t>所投货物、服务在技术、商务等方面没有实质性满足招标文件要求</w:t>
            </w:r>
            <w:r>
              <w:rPr>
                <w:rFonts w:hint="eastAsia" w:ascii="Calibri" w:hAnsi="Calibri" w:eastAsia="宋体" w:cs="Times New Roman"/>
              </w:rPr>
              <w:t>（或未响应招标文件中带★号条款或响应有负偏离）的</w:t>
            </w:r>
            <w:r>
              <w:rPr>
                <w:rFonts w:hint="eastAsia"/>
              </w:rPr>
              <w:t>（是否实质性满足招标文件要求，由评审委员会根据实质性条款响应情况做出评判）；</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0" w:type="dxa"/>
            <w:left w:w="108" w:type="dxa"/>
            <w:bottom w:w="20" w:type="dxa"/>
            <w:right w:w="108" w:type="dxa"/>
          </w:tblCellMar>
        </w:tblPrEx>
        <w:trPr>
          <w:jc w:val="center"/>
        </w:trPr>
        <w:tc>
          <w:tcPr>
            <w:tcW w:w="794" w:type="dxa"/>
            <w:tcBorders>
              <w:top w:val="single" w:color="000000" w:sz="8" w:space="0"/>
              <w:left w:val="single" w:color="000000" w:sz="8" w:space="0"/>
              <w:bottom w:val="single" w:color="000000" w:sz="8" w:space="0"/>
              <w:right w:val="single" w:color="000000" w:sz="8" w:space="0"/>
            </w:tcBorders>
          </w:tcPr>
          <w:p>
            <w:pPr>
              <w:spacing w:line="290" w:lineRule="exact"/>
              <w:jc w:val="center"/>
              <w:rPr>
                <w:rFonts w:ascii="Calibri" w:hAnsi="Calibri" w:eastAsia="宋体" w:cs="Times New Roman"/>
              </w:rPr>
            </w:pPr>
            <w:r>
              <w:rPr>
                <w:rFonts w:ascii="Calibri" w:hAnsi="Calibri" w:eastAsia="宋体" w:cs="Times New Roman"/>
              </w:rPr>
              <w:t>6</w:t>
            </w:r>
          </w:p>
        </w:tc>
        <w:tc>
          <w:tcPr>
            <w:tcW w:w="8704" w:type="dxa"/>
            <w:tcBorders>
              <w:top w:val="single" w:color="000000" w:sz="8" w:space="0"/>
              <w:left w:val="single" w:color="000000" w:sz="8" w:space="0"/>
              <w:bottom w:val="single" w:color="000000" w:sz="8" w:space="0"/>
              <w:right w:val="single" w:color="000000" w:sz="8" w:space="0"/>
            </w:tcBorders>
          </w:tcPr>
          <w:p>
            <w:pPr>
              <w:spacing w:line="290" w:lineRule="exact"/>
              <w:rPr>
                <w:rFonts w:ascii="Calibri" w:hAnsi="Calibri" w:eastAsia="宋体" w:cs="Times New Roman"/>
              </w:rPr>
            </w:pPr>
            <w:r>
              <w:rPr>
                <w:rFonts w:hint="eastAsia"/>
              </w:rPr>
              <w:t>未按招标文件所提供的样式填写《投标函》；未按招标文件所提供的《政府采购投标及履约承诺函》进行承诺；未按招标文件对投标文件组成的要求提供投标文件；</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0" w:type="dxa"/>
            <w:left w:w="108" w:type="dxa"/>
            <w:bottom w:w="20" w:type="dxa"/>
            <w:right w:w="108" w:type="dxa"/>
          </w:tblCellMar>
        </w:tblPrEx>
        <w:trPr>
          <w:jc w:val="center"/>
        </w:trPr>
        <w:tc>
          <w:tcPr>
            <w:tcW w:w="794" w:type="dxa"/>
            <w:tcBorders>
              <w:top w:val="single" w:color="000000" w:sz="8" w:space="0"/>
              <w:left w:val="single" w:color="000000" w:sz="8" w:space="0"/>
              <w:bottom w:val="single" w:color="000000" w:sz="8" w:space="0"/>
              <w:right w:val="single" w:color="000000" w:sz="8" w:space="0"/>
            </w:tcBorders>
          </w:tcPr>
          <w:p>
            <w:pPr>
              <w:spacing w:line="290" w:lineRule="exact"/>
              <w:jc w:val="center"/>
              <w:rPr>
                <w:rFonts w:ascii="Calibri" w:hAnsi="Calibri" w:eastAsia="宋体" w:cs="Times New Roman"/>
              </w:rPr>
            </w:pPr>
            <w:r>
              <w:rPr>
                <w:rFonts w:ascii="Calibri" w:hAnsi="Calibri" w:eastAsia="宋体" w:cs="Times New Roman"/>
              </w:rPr>
              <w:t>7</w:t>
            </w:r>
          </w:p>
        </w:tc>
        <w:tc>
          <w:tcPr>
            <w:tcW w:w="8704" w:type="dxa"/>
            <w:tcBorders>
              <w:top w:val="single" w:color="000000" w:sz="8" w:space="0"/>
              <w:left w:val="single" w:color="000000" w:sz="8" w:space="0"/>
              <w:bottom w:val="single" w:color="000000" w:sz="8" w:space="0"/>
              <w:right w:val="single" w:color="000000" w:sz="8" w:space="0"/>
            </w:tcBorders>
          </w:tcPr>
          <w:p>
            <w:pPr>
              <w:spacing w:line="290" w:lineRule="exact"/>
              <w:rPr>
                <w:rFonts w:ascii="Calibri" w:hAnsi="Calibri" w:eastAsia="宋体" w:cs="Times New Roman"/>
              </w:rPr>
            </w:pPr>
            <w:r>
              <w:rPr>
                <w:rFonts w:hint="eastAsia"/>
              </w:rPr>
              <w:t>投标报价有缺漏项目，或者对招标文件规定的项目需求内容或者需求数量进行修改，评审委员会判定投标响应不满足采购需求；</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0" w:type="dxa"/>
            <w:left w:w="108" w:type="dxa"/>
            <w:bottom w:w="20" w:type="dxa"/>
            <w:right w:w="108" w:type="dxa"/>
          </w:tblCellMar>
        </w:tblPrEx>
        <w:trPr>
          <w:jc w:val="center"/>
        </w:trPr>
        <w:tc>
          <w:tcPr>
            <w:tcW w:w="794" w:type="dxa"/>
            <w:tcBorders>
              <w:top w:val="single" w:color="000000" w:sz="8" w:space="0"/>
              <w:left w:val="single" w:color="000000" w:sz="8" w:space="0"/>
              <w:bottom w:val="single" w:color="000000" w:sz="8" w:space="0"/>
              <w:right w:val="single" w:color="000000" w:sz="8" w:space="0"/>
            </w:tcBorders>
          </w:tcPr>
          <w:p>
            <w:pPr>
              <w:spacing w:line="290" w:lineRule="exact"/>
              <w:jc w:val="center"/>
              <w:rPr>
                <w:rFonts w:ascii="Calibri" w:hAnsi="Calibri" w:eastAsia="宋体" w:cs="Times New Roman"/>
              </w:rPr>
            </w:pPr>
            <w:r>
              <w:rPr>
                <w:rFonts w:ascii="Calibri" w:hAnsi="Calibri" w:eastAsia="宋体" w:cs="Times New Roman"/>
              </w:rPr>
              <w:t>8</w:t>
            </w:r>
          </w:p>
        </w:tc>
        <w:tc>
          <w:tcPr>
            <w:tcW w:w="8704" w:type="dxa"/>
            <w:tcBorders>
              <w:top w:val="single" w:color="000000" w:sz="8" w:space="0"/>
              <w:left w:val="single" w:color="000000" w:sz="8" w:space="0"/>
              <w:bottom w:val="single" w:color="000000" w:sz="8" w:space="0"/>
              <w:right w:val="single" w:color="000000" w:sz="8" w:space="0"/>
            </w:tcBorders>
          </w:tcPr>
          <w:p>
            <w:pPr>
              <w:widowControl/>
              <w:spacing w:line="290" w:lineRule="exact"/>
              <w:jc w:val="left"/>
              <w:textAlignment w:val="top"/>
              <w:rPr>
                <w:szCs w:val="21"/>
              </w:rPr>
            </w:pPr>
            <w:r>
              <w:rPr>
                <w:rFonts w:hint="eastAsia"/>
              </w:rPr>
              <w:t>投标文件存在列放位置错误，导致属于信息公开情形的没有被公开；</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0" w:type="dxa"/>
            <w:left w:w="108" w:type="dxa"/>
            <w:bottom w:w="20" w:type="dxa"/>
            <w:right w:w="108" w:type="dxa"/>
          </w:tblCellMar>
        </w:tblPrEx>
        <w:trPr>
          <w:jc w:val="center"/>
        </w:trPr>
        <w:tc>
          <w:tcPr>
            <w:tcW w:w="794" w:type="dxa"/>
            <w:tcBorders>
              <w:top w:val="single" w:color="000000" w:sz="8" w:space="0"/>
              <w:left w:val="single" w:color="000000" w:sz="8" w:space="0"/>
              <w:bottom w:val="single" w:color="000000" w:sz="8" w:space="0"/>
              <w:right w:val="single" w:color="000000" w:sz="8" w:space="0"/>
            </w:tcBorders>
          </w:tcPr>
          <w:p>
            <w:pPr>
              <w:spacing w:line="290" w:lineRule="exact"/>
              <w:jc w:val="center"/>
              <w:rPr>
                <w:rFonts w:ascii="Calibri" w:hAnsi="Calibri" w:eastAsia="宋体" w:cs="Times New Roman"/>
              </w:rPr>
            </w:pPr>
            <w:r>
              <w:rPr>
                <w:rFonts w:ascii="Calibri" w:hAnsi="Calibri" w:eastAsia="宋体" w:cs="Times New Roman"/>
              </w:rPr>
              <w:t>9</w:t>
            </w:r>
          </w:p>
        </w:tc>
        <w:tc>
          <w:tcPr>
            <w:tcW w:w="8704" w:type="dxa"/>
            <w:tcBorders>
              <w:top w:val="single" w:color="000000" w:sz="8" w:space="0"/>
              <w:left w:val="single" w:color="000000" w:sz="8" w:space="0"/>
              <w:bottom w:val="single" w:color="000000" w:sz="8" w:space="0"/>
              <w:right w:val="single" w:color="000000" w:sz="8" w:space="0"/>
            </w:tcBorders>
          </w:tcPr>
          <w:p>
            <w:pPr>
              <w:widowControl/>
              <w:spacing w:line="290" w:lineRule="exact"/>
              <w:jc w:val="left"/>
              <w:textAlignment w:val="top"/>
              <w:rPr>
                <w:szCs w:val="21"/>
              </w:rPr>
            </w:pPr>
            <w:r>
              <w:rPr>
                <w:rFonts w:hint="eastAsia"/>
              </w:rPr>
              <w:t>投标文件电子文档带病毒；</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0" w:type="dxa"/>
            <w:left w:w="108" w:type="dxa"/>
            <w:bottom w:w="20" w:type="dxa"/>
            <w:right w:w="108" w:type="dxa"/>
          </w:tblCellMar>
        </w:tblPrEx>
        <w:trPr>
          <w:jc w:val="center"/>
        </w:trPr>
        <w:tc>
          <w:tcPr>
            <w:tcW w:w="794" w:type="dxa"/>
            <w:tcBorders>
              <w:top w:val="single" w:color="000000" w:sz="8" w:space="0"/>
              <w:left w:val="single" w:color="000000" w:sz="8" w:space="0"/>
              <w:bottom w:val="single" w:color="000000" w:sz="8" w:space="0"/>
              <w:right w:val="single" w:color="000000" w:sz="8" w:space="0"/>
            </w:tcBorders>
          </w:tcPr>
          <w:p>
            <w:pPr>
              <w:spacing w:line="290" w:lineRule="exact"/>
              <w:jc w:val="center"/>
              <w:rPr>
                <w:rFonts w:ascii="Calibri" w:hAnsi="Calibri" w:eastAsia="宋体" w:cs="Times New Roman"/>
              </w:rPr>
            </w:pPr>
            <w:r>
              <w:rPr>
                <w:rFonts w:ascii="Calibri" w:hAnsi="Calibri" w:eastAsia="宋体" w:cs="Times New Roman"/>
              </w:rPr>
              <w:t>10</w:t>
            </w:r>
          </w:p>
        </w:tc>
        <w:tc>
          <w:tcPr>
            <w:tcW w:w="8704" w:type="dxa"/>
            <w:tcBorders>
              <w:top w:val="single" w:color="000000" w:sz="8" w:space="0"/>
              <w:left w:val="single" w:color="000000" w:sz="8" w:space="0"/>
              <w:bottom w:val="single" w:color="000000" w:sz="8" w:space="0"/>
              <w:right w:val="single" w:color="000000" w:sz="8" w:space="0"/>
            </w:tcBorders>
          </w:tcPr>
          <w:p>
            <w:pPr>
              <w:widowControl/>
              <w:spacing w:line="290" w:lineRule="exact"/>
              <w:jc w:val="left"/>
              <w:textAlignment w:val="top"/>
              <w:rPr>
                <w:rFonts w:ascii="宋体" w:hAnsi="宋体" w:eastAsia="宋体"/>
                <w:szCs w:val="21"/>
              </w:rPr>
            </w:pPr>
            <w:r>
              <w:rPr>
                <w:rFonts w:hint="eastAsia" w:ascii="宋体" w:hAnsi="宋体" w:eastAsia="宋体"/>
              </w:rPr>
              <w:t>投标文件用不属于本公司的电子密钥或电子营业执照进行加密的；</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0" w:type="dxa"/>
            <w:left w:w="108" w:type="dxa"/>
            <w:bottom w:w="20" w:type="dxa"/>
            <w:right w:w="108" w:type="dxa"/>
          </w:tblCellMar>
        </w:tblPrEx>
        <w:trPr>
          <w:jc w:val="center"/>
        </w:trPr>
        <w:tc>
          <w:tcPr>
            <w:tcW w:w="794" w:type="dxa"/>
            <w:tcBorders>
              <w:top w:val="single" w:color="000000" w:sz="8" w:space="0"/>
              <w:left w:val="single" w:color="000000" w:sz="8" w:space="0"/>
              <w:bottom w:val="single" w:color="000000" w:sz="8" w:space="0"/>
              <w:right w:val="single" w:color="000000" w:sz="8" w:space="0"/>
            </w:tcBorders>
          </w:tcPr>
          <w:p>
            <w:pPr>
              <w:spacing w:line="290" w:lineRule="exact"/>
              <w:jc w:val="center"/>
              <w:rPr>
                <w:rFonts w:ascii="Calibri" w:hAnsi="Calibri" w:eastAsia="宋体" w:cs="Times New Roman"/>
              </w:rPr>
            </w:pPr>
            <w:r>
              <w:rPr>
                <w:rFonts w:hint="eastAsia" w:ascii="Calibri" w:hAnsi="Calibri" w:eastAsia="宋体" w:cs="Times New Roman"/>
              </w:rPr>
              <w:t>11</w:t>
            </w:r>
          </w:p>
        </w:tc>
        <w:tc>
          <w:tcPr>
            <w:tcW w:w="8704" w:type="dxa"/>
            <w:tcBorders>
              <w:top w:val="single" w:color="000000" w:sz="8" w:space="0"/>
              <w:left w:val="single" w:color="000000" w:sz="8" w:space="0"/>
              <w:bottom w:val="single" w:color="000000" w:sz="8" w:space="0"/>
              <w:right w:val="single" w:color="000000" w:sz="8" w:space="0"/>
            </w:tcBorders>
          </w:tcPr>
          <w:p>
            <w:pPr>
              <w:widowControl/>
              <w:spacing w:line="290" w:lineRule="exact"/>
              <w:jc w:val="left"/>
              <w:textAlignment w:val="top"/>
              <w:rPr>
                <w:rFonts w:ascii="宋体" w:hAnsi="宋体" w:eastAsia="宋体"/>
              </w:rPr>
            </w:pPr>
            <w:r>
              <w:rPr>
                <w:rFonts w:hint="eastAsia" w:ascii="Calibri" w:hAnsi="Calibri" w:eastAsia="宋体" w:cs="Times New Roman"/>
              </w:rPr>
              <w:t>如投标供应商存在“不同供应商的董事、股东或其他高级管理人员为同一人的”情形的，应承诺不存在串通投标、恶意串通或者视为串通投标的情形</w:t>
            </w:r>
            <w:r>
              <w:rPr>
                <w:rFonts w:hint="eastAsia" w:ascii="Calibri" w:hAnsi="Calibri" w:eastAsia="宋体" w:cs="Times New Roman"/>
                <w:bCs/>
              </w:rPr>
              <w:t>（</w:t>
            </w:r>
            <w:r>
              <w:rPr>
                <w:rFonts w:ascii="Calibri" w:hAnsi="Calibri" w:eastAsia="宋体" w:cs="Times New Roman"/>
                <w:bCs/>
              </w:rPr>
              <w:t>在《</w:t>
            </w:r>
            <w:r>
              <w:rPr>
                <w:rFonts w:hint="eastAsia" w:ascii="Calibri" w:hAnsi="Calibri" w:eastAsia="宋体" w:cs="Times New Roman"/>
                <w:bCs/>
              </w:rPr>
              <w:t>政府采购投标及履约承诺函</w:t>
            </w:r>
            <w:r>
              <w:rPr>
                <w:rFonts w:ascii="Calibri" w:hAnsi="Calibri" w:eastAsia="宋体" w:cs="Times New Roman"/>
                <w:bCs/>
              </w:rPr>
              <w:t>》中作出声明</w:t>
            </w:r>
            <w:r>
              <w:rPr>
                <w:rFonts w:hint="eastAsia" w:ascii="Calibri" w:hAnsi="Calibri" w:eastAsia="宋体" w:cs="Times New Roman"/>
                <w:bCs/>
              </w:rPr>
              <w:t>）</w:t>
            </w:r>
            <w:r>
              <w:rPr>
                <w:rFonts w:hint="eastAsia" w:ascii="Calibri" w:hAnsi="Calibri" w:eastAsia="宋体" w:cs="Times New Roman"/>
              </w:rPr>
              <w:t>；</w:t>
            </w:r>
            <w:r>
              <w:rPr>
                <w:rFonts w:hint="eastAsia" w:ascii="宋体" w:hAnsi="宋体" w:eastAsia="宋体"/>
              </w:rPr>
              <w:t>经核实，不同投标供应商的投标文件由同一电子设备编制、加密或者上传的；</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0" w:type="dxa"/>
            <w:left w:w="108" w:type="dxa"/>
            <w:bottom w:w="20" w:type="dxa"/>
            <w:right w:w="108" w:type="dxa"/>
          </w:tblCellMar>
        </w:tblPrEx>
        <w:trPr>
          <w:jc w:val="center"/>
        </w:trPr>
        <w:tc>
          <w:tcPr>
            <w:tcW w:w="794" w:type="dxa"/>
            <w:tcBorders>
              <w:top w:val="single" w:color="000000" w:sz="8" w:space="0"/>
              <w:left w:val="single" w:color="000000" w:sz="8" w:space="0"/>
              <w:bottom w:val="single" w:color="000000" w:sz="8" w:space="0"/>
              <w:right w:val="single" w:color="000000" w:sz="8" w:space="0"/>
            </w:tcBorders>
          </w:tcPr>
          <w:p>
            <w:pPr>
              <w:spacing w:line="290" w:lineRule="exact"/>
              <w:jc w:val="center"/>
              <w:rPr>
                <w:rFonts w:ascii="Calibri" w:hAnsi="Calibri" w:eastAsia="宋体" w:cs="Times New Roman"/>
              </w:rPr>
            </w:pPr>
            <w:r>
              <w:rPr>
                <w:rFonts w:hint="eastAsia" w:ascii="Calibri" w:hAnsi="Calibri" w:eastAsia="宋体" w:cs="Times New Roman"/>
              </w:rPr>
              <w:t>12</w:t>
            </w:r>
          </w:p>
        </w:tc>
        <w:tc>
          <w:tcPr>
            <w:tcW w:w="8704" w:type="dxa"/>
            <w:tcBorders>
              <w:top w:val="single" w:color="000000" w:sz="8" w:space="0"/>
              <w:left w:val="single" w:color="000000" w:sz="8" w:space="0"/>
              <w:bottom w:val="single" w:color="000000" w:sz="8" w:space="0"/>
              <w:right w:val="single" w:color="000000" w:sz="8" w:space="0"/>
            </w:tcBorders>
          </w:tcPr>
          <w:p>
            <w:pPr>
              <w:widowControl/>
              <w:spacing w:line="290" w:lineRule="exact"/>
              <w:jc w:val="left"/>
              <w:textAlignment w:val="top"/>
              <w:rPr>
                <w:szCs w:val="21"/>
              </w:rPr>
            </w:pPr>
            <w:r>
              <w:rPr>
                <w:rFonts w:hint="eastAsia"/>
              </w:rPr>
              <w:t>法律、法规、规章、规范性文件规定的其他情形。</w:t>
            </w:r>
          </w:p>
        </w:tc>
      </w:tr>
    </w:tbl>
    <w:p>
      <w:pPr>
        <w:pStyle w:val="14"/>
        <w:jc w:val="center"/>
        <w:outlineLvl w:val="0"/>
        <w:rPr>
          <w:rFonts w:ascii="黑体" w:eastAsia="黑体"/>
          <w:sz w:val="40"/>
          <w:szCs w:val="40"/>
        </w:rPr>
      </w:pPr>
      <w:r>
        <w:rPr>
          <w:rFonts w:hint="eastAsia" w:ascii="黑体" w:hAnsi="黑体" w:eastAsia="黑体"/>
          <w:sz w:val="40"/>
          <w:szCs w:val="40"/>
        </w:rPr>
        <w:t>评标信息</w:t>
      </w:r>
    </w:p>
    <w:p>
      <w:r>
        <w:rPr>
          <w:rFonts w:ascii="宋体" w:hAnsi="宋体"/>
          <w:b/>
          <w:bCs/>
        </w:rPr>
        <w:t>评标方法：综合评分法（新价格分算法）</w:t>
      </w:r>
    </w:p>
    <w:p>
      <w:pPr>
        <w:spacing w:line="324" w:lineRule="auto"/>
        <w:ind w:firstLine="420"/>
      </w:pPr>
      <w:r>
        <w:rPr>
          <w:rFonts w:ascii="宋体" w:hAnsi="宋体"/>
        </w:rPr>
        <w:t>综合评分法，是指投标文件满足招标文件全部实质性要求，且按照评审因素的量化指标评审得分最高的投标人为中标候选人的评标方法。</w:t>
      </w:r>
    </w:p>
    <w:p>
      <w:pPr>
        <w:ind w:firstLine="420"/>
      </w:pPr>
      <w:r>
        <w:rPr>
          <w:rFonts w:ascii="宋体" w:hAnsi="宋体"/>
        </w:rPr>
        <w:t>价格分计算方法：</w:t>
      </w:r>
    </w:p>
    <w:p>
      <w:r>
        <w:rPr>
          <w:rFonts w:ascii="宋体" w:hAnsi="宋体"/>
        </w:rPr>
        <w:t>采用低价优先法计算，即满足招标文件要求且投标价格最低的投标报价为评标基准价，其价格分为满分。其他投标人的价格分统一按照下列公式计算：</w:t>
      </w:r>
      <w:r>
        <w:br w:type="textWrapping"/>
      </w:r>
      <w:r>
        <w:rPr>
          <w:rFonts w:ascii="宋体" w:hAnsi="宋体"/>
        </w:rPr>
        <w:t>投标报价得分</w:t>
      </w:r>
      <w:r>
        <w:t>=(</w:t>
      </w:r>
      <w:r>
        <w:rPr>
          <w:rFonts w:ascii="宋体" w:hAnsi="宋体"/>
        </w:rPr>
        <w:t>评标基准价／投标报价</w:t>
      </w:r>
      <w:r>
        <w:t xml:space="preserve">)×100 </w:t>
      </w:r>
      <w:r>
        <w:br w:type="textWrapping"/>
      </w:r>
      <w:r>
        <w:rPr>
          <w:rFonts w:ascii="宋体" w:hAnsi="宋体"/>
        </w:rPr>
        <w:t>评标总得分＝</w:t>
      </w:r>
      <w:r>
        <w:t>F1×A1</w:t>
      </w:r>
      <w:r>
        <w:rPr>
          <w:rFonts w:ascii="宋体" w:hAnsi="宋体"/>
        </w:rPr>
        <w:t>＋</w:t>
      </w:r>
      <w:r>
        <w:t>F2×A2</w:t>
      </w:r>
      <w:r>
        <w:rPr>
          <w:rFonts w:ascii="宋体" w:hAnsi="宋体"/>
        </w:rPr>
        <w:t>＋</w:t>
      </w:r>
      <w:r>
        <w:t>……</w:t>
      </w:r>
      <w:r>
        <w:rPr>
          <w:rFonts w:ascii="宋体" w:hAnsi="宋体"/>
        </w:rPr>
        <w:t>＋</w:t>
      </w:r>
      <w:r>
        <w:t xml:space="preserve">Fn×An </w:t>
      </w:r>
      <w:r>
        <w:br w:type="textWrapping"/>
      </w:r>
      <w:r>
        <w:t>F1</w:t>
      </w:r>
      <w:r>
        <w:rPr>
          <w:rFonts w:ascii="宋体" w:hAnsi="宋体"/>
        </w:rPr>
        <w:t>、</w:t>
      </w:r>
      <w:r>
        <w:t>F2……Fn</w:t>
      </w:r>
      <w:r>
        <w:rPr>
          <w:rFonts w:ascii="宋体" w:hAnsi="宋体"/>
        </w:rPr>
        <w:t xml:space="preserve">分别为各项评审因素的得分； </w:t>
      </w:r>
      <w:r>
        <w:br w:type="textWrapping"/>
      </w:r>
      <w:r>
        <w:t>A1</w:t>
      </w:r>
      <w:r>
        <w:rPr>
          <w:rFonts w:ascii="宋体" w:hAnsi="宋体"/>
        </w:rPr>
        <w:t>、</w:t>
      </w:r>
      <w:r>
        <w:t>A2</w:t>
      </w:r>
      <w:r>
        <w:rPr>
          <w:rFonts w:ascii="宋体" w:hAnsi="宋体"/>
        </w:rPr>
        <w:t>、</w:t>
      </w:r>
      <w:r>
        <w:t xml:space="preserve">……An </w:t>
      </w:r>
      <w:r>
        <w:rPr>
          <w:rFonts w:ascii="宋体" w:hAnsi="宋体"/>
        </w:rPr>
        <w:t>分别为各项评审因素所占的权重</w:t>
      </w:r>
      <w:r>
        <w:t>(A1</w:t>
      </w:r>
      <w:r>
        <w:rPr>
          <w:rFonts w:ascii="宋体" w:hAnsi="宋体"/>
        </w:rPr>
        <w:t>＋</w:t>
      </w:r>
      <w:r>
        <w:t>A2</w:t>
      </w:r>
      <w:r>
        <w:rPr>
          <w:rFonts w:ascii="宋体" w:hAnsi="宋体"/>
        </w:rPr>
        <w:t>＋</w:t>
      </w:r>
      <w:r>
        <w:t>……</w:t>
      </w:r>
      <w:r>
        <w:rPr>
          <w:rFonts w:ascii="宋体" w:hAnsi="宋体"/>
        </w:rPr>
        <w:t>＋</w:t>
      </w:r>
      <w:r>
        <w:t>An</w:t>
      </w:r>
      <w:r>
        <w:rPr>
          <w:rFonts w:ascii="宋体" w:hAnsi="宋体"/>
        </w:rPr>
        <w:t>＝</w:t>
      </w:r>
      <w:r>
        <w:t>1)</w:t>
      </w:r>
      <w:r>
        <w:rPr>
          <w:rFonts w:ascii="宋体" w:hAnsi="宋体"/>
        </w:rPr>
        <w:t xml:space="preserve">。 </w:t>
      </w:r>
      <w:r>
        <w:br w:type="textWrapping"/>
      </w:r>
      <w:r>
        <w:rPr>
          <w:rFonts w:ascii="宋体" w:hAnsi="宋体"/>
        </w:rPr>
        <w:t>评标过程中，不得去掉报价中的最高报价和最低报价。</w:t>
      </w:r>
      <w:r>
        <w:br w:type="textWrapping"/>
      </w:r>
      <w:r>
        <w:rPr>
          <w:rFonts w:ascii="宋体" w:hAnsi="宋体"/>
        </w:rPr>
        <w:t>此方法适用于货物类、服务类、工程类项目。</w:t>
      </w:r>
    </w:p>
    <w:p>
      <w:pPr>
        <w:widowControl/>
        <w:jc w:val="left"/>
        <w:rPr>
          <w:b/>
          <w:sz w:val="84"/>
          <w:szCs w:val="84"/>
        </w:rPr>
      </w:pPr>
      <w:r>
        <w:rPr>
          <w:b/>
          <w:sz w:val="84"/>
          <w:szCs w:val="84"/>
        </w:rPr>
        <w:br w:type="page"/>
      </w:r>
    </w:p>
    <w:tbl>
      <w:tblPr>
        <w:tblStyle w:val="16"/>
        <w:tblW w:w="9078"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autofit"/>
        <w:tblCellMar>
          <w:top w:w="20" w:type="dxa"/>
          <w:left w:w="108" w:type="dxa"/>
          <w:bottom w:w="20" w:type="dxa"/>
          <w:right w:w="108" w:type="dxa"/>
        </w:tblCellMar>
      </w:tblPr>
      <w:tblGrid>
        <w:gridCol w:w="714"/>
        <w:gridCol w:w="646"/>
        <w:gridCol w:w="1760"/>
        <w:gridCol w:w="993"/>
        <w:gridCol w:w="4965"/>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CellMar>
            <w:top w:w="20" w:type="dxa"/>
            <w:left w:w="108" w:type="dxa"/>
            <w:bottom w:w="20" w:type="dxa"/>
            <w:right w:w="108" w:type="dxa"/>
          </w:tblCellMar>
        </w:tblPrEx>
        <w:trPr>
          <w:jc w:val="center"/>
        </w:trPr>
        <w:tc>
          <w:tcPr>
            <w:tcW w:w="71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spacing w:line="260" w:lineRule="exact"/>
              <w:jc w:val="center"/>
              <w:rPr>
                <w:rFonts w:ascii="宋体" w:hAnsi="宋体" w:eastAsia="宋体" w:cs="宋体"/>
                <w:b/>
                <w:bCs/>
                <w:szCs w:val="21"/>
              </w:rPr>
            </w:pPr>
            <w:r>
              <w:rPr>
                <w:rFonts w:hint="eastAsia" w:ascii="宋体" w:hAnsi="宋体" w:eastAsia="宋体" w:cs="宋体"/>
                <w:b/>
                <w:bCs/>
                <w:szCs w:val="21"/>
              </w:rPr>
              <w:t>序号</w:t>
            </w:r>
          </w:p>
        </w:tc>
        <w:tc>
          <w:tcPr>
            <w:tcW w:w="3397" w:type="dxa"/>
            <w:gridSpan w:val="3"/>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spacing w:line="260" w:lineRule="exact"/>
              <w:jc w:val="center"/>
              <w:rPr>
                <w:rFonts w:ascii="宋体" w:hAnsi="宋体" w:eastAsia="宋体" w:cs="宋体"/>
                <w:b/>
                <w:bCs/>
                <w:szCs w:val="21"/>
              </w:rPr>
            </w:pPr>
            <w:r>
              <w:rPr>
                <w:rFonts w:hint="eastAsia" w:ascii="宋体" w:hAnsi="宋体" w:eastAsia="宋体" w:cs="宋体"/>
                <w:b/>
                <w:bCs/>
                <w:szCs w:val="21"/>
              </w:rPr>
              <w:t>评分项</w:t>
            </w:r>
          </w:p>
        </w:tc>
        <w:tc>
          <w:tcPr>
            <w:tcW w:w="496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spacing w:line="260" w:lineRule="exact"/>
              <w:jc w:val="center"/>
              <w:rPr>
                <w:rFonts w:ascii="宋体" w:hAnsi="宋体" w:eastAsia="宋体" w:cs="宋体"/>
                <w:b/>
                <w:bCs/>
                <w:szCs w:val="21"/>
              </w:rPr>
            </w:pPr>
            <w:r>
              <w:rPr>
                <w:rFonts w:hint="eastAsia" w:ascii="宋体" w:hAnsi="宋体" w:eastAsia="宋体" w:cs="宋体"/>
                <w:b/>
                <w:bCs/>
                <w:szCs w:val="21"/>
              </w:rPr>
              <w:t>权重（%）</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CellMar>
            <w:top w:w="20" w:type="dxa"/>
            <w:left w:w="108" w:type="dxa"/>
            <w:bottom w:w="20" w:type="dxa"/>
            <w:right w:w="108" w:type="dxa"/>
          </w:tblCellMar>
        </w:tblPrEx>
        <w:trPr>
          <w:trHeight w:val="246" w:hRule="atLeast"/>
          <w:jc w:val="center"/>
        </w:trPr>
        <w:tc>
          <w:tcPr>
            <w:tcW w:w="714" w:type="dxa"/>
            <w:tcBorders>
              <w:top w:val="single" w:color="000000" w:sz="8" w:space="0"/>
              <w:left w:val="single" w:color="000000" w:sz="8" w:space="0"/>
              <w:bottom w:val="single" w:color="000000" w:sz="8" w:space="0"/>
              <w:right w:val="single" w:color="000000" w:sz="8" w:space="0"/>
            </w:tcBorders>
            <w:shd w:val="clear" w:color="auto" w:fill="FFFFFF"/>
          </w:tcPr>
          <w:p>
            <w:pPr>
              <w:snapToGrid w:val="0"/>
              <w:spacing w:line="260" w:lineRule="exact"/>
              <w:jc w:val="center"/>
              <w:rPr>
                <w:rFonts w:ascii="宋体" w:hAnsi="宋体" w:eastAsia="宋体" w:cs="宋体"/>
                <w:b/>
                <w:bCs/>
                <w:szCs w:val="21"/>
              </w:rPr>
            </w:pPr>
            <w:r>
              <w:rPr>
                <w:rFonts w:hint="eastAsia" w:ascii="宋体" w:hAnsi="宋体" w:eastAsia="宋体" w:cs="宋体"/>
                <w:b/>
                <w:bCs/>
                <w:szCs w:val="21"/>
              </w:rPr>
              <w:t>1</w:t>
            </w:r>
          </w:p>
        </w:tc>
        <w:tc>
          <w:tcPr>
            <w:tcW w:w="3397" w:type="dxa"/>
            <w:gridSpan w:val="3"/>
            <w:tcBorders>
              <w:top w:val="single" w:color="000000" w:sz="8" w:space="0"/>
              <w:left w:val="single" w:color="000000" w:sz="8" w:space="0"/>
              <w:bottom w:val="single" w:color="000000" w:sz="8" w:space="0"/>
              <w:right w:val="single" w:color="000000" w:sz="8" w:space="0"/>
            </w:tcBorders>
            <w:shd w:val="clear" w:color="auto" w:fill="FFFFFF"/>
          </w:tcPr>
          <w:p>
            <w:pPr>
              <w:snapToGrid w:val="0"/>
              <w:spacing w:line="260" w:lineRule="exact"/>
              <w:jc w:val="center"/>
              <w:rPr>
                <w:rFonts w:ascii="宋体" w:hAnsi="宋体" w:eastAsia="宋体" w:cs="宋体"/>
                <w:b/>
                <w:bCs/>
                <w:szCs w:val="21"/>
              </w:rPr>
            </w:pPr>
            <w:r>
              <w:rPr>
                <w:rFonts w:hint="eastAsia" w:ascii="宋体" w:hAnsi="宋体" w:eastAsia="宋体" w:cs="宋体"/>
                <w:b/>
                <w:bCs/>
                <w:szCs w:val="21"/>
              </w:rPr>
              <w:t>价格</w:t>
            </w:r>
          </w:p>
        </w:tc>
        <w:tc>
          <w:tcPr>
            <w:tcW w:w="4961" w:type="dxa"/>
            <w:tcBorders>
              <w:top w:val="single" w:color="000000" w:sz="8" w:space="0"/>
              <w:left w:val="single" w:color="000000" w:sz="8" w:space="0"/>
              <w:bottom w:val="single" w:color="000000" w:sz="8" w:space="0"/>
              <w:right w:val="single" w:color="000000" w:sz="8" w:space="0"/>
            </w:tcBorders>
            <w:shd w:val="clear" w:color="auto" w:fill="FFFFFF"/>
          </w:tcPr>
          <w:p>
            <w:pPr>
              <w:snapToGrid w:val="0"/>
              <w:spacing w:line="260" w:lineRule="exact"/>
              <w:jc w:val="center"/>
              <w:rPr>
                <w:rFonts w:ascii="宋体" w:hAnsi="宋体" w:eastAsia="宋体" w:cs="宋体"/>
                <w:b/>
                <w:bCs/>
                <w:szCs w:val="21"/>
              </w:rPr>
            </w:pPr>
            <w:r>
              <w:rPr>
                <w:rFonts w:hint="eastAsia" w:ascii="宋体" w:hAnsi="宋体" w:eastAsia="宋体" w:cs="宋体"/>
                <w:b/>
                <w:bCs/>
                <w:szCs w:val="21"/>
              </w:rPr>
              <w:t>10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CellMar>
            <w:top w:w="20" w:type="dxa"/>
            <w:left w:w="108" w:type="dxa"/>
            <w:bottom w:w="20" w:type="dxa"/>
            <w:right w:w="108" w:type="dxa"/>
          </w:tblCellMar>
        </w:tblPrEx>
        <w:trPr>
          <w:jc w:val="center"/>
        </w:trPr>
        <w:tc>
          <w:tcPr>
            <w:tcW w:w="714" w:type="dxa"/>
            <w:vMerge w:val="restart"/>
            <w:tcBorders>
              <w:top w:val="single" w:color="000000" w:sz="8" w:space="0"/>
              <w:left w:val="single" w:color="000000" w:sz="8" w:space="0"/>
              <w:bottom w:val="single" w:color="000000" w:sz="8" w:space="0"/>
              <w:right w:val="single" w:color="000000" w:sz="8" w:space="0"/>
            </w:tcBorders>
            <w:shd w:val="clear" w:color="auto" w:fill="FFFFFF"/>
          </w:tcPr>
          <w:p>
            <w:pPr>
              <w:snapToGrid w:val="0"/>
              <w:spacing w:line="260" w:lineRule="exact"/>
              <w:jc w:val="center"/>
              <w:rPr>
                <w:rFonts w:ascii="宋体" w:hAnsi="宋体" w:eastAsia="宋体" w:cs="宋体"/>
                <w:b/>
                <w:bCs/>
                <w:szCs w:val="21"/>
              </w:rPr>
            </w:pPr>
            <w:r>
              <w:rPr>
                <w:rFonts w:hint="eastAsia" w:ascii="宋体" w:hAnsi="宋体" w:eastAsia="宋体" w:cs="宋体"/>
                <w:b/>
                <w:bCs/>
                <w:szCs w:val="21"/>
              </w:rPr>
              <w:t>2</w:t>
            </w:r>
          </w:p>
        </w:tc>
        <w:tc>
          <w:tcPr>
            <w:tcW w:w="3397" w:type="dxa"/>
            <w:gridSpan w:val="3"/>
            <w:tcBorders>
              <w:top w:val="single" w:color="000000" w:sz="8" w:space="0"/>
              <w:left w:val="single" w:color="000000" w:sz="8" w:space="0"/>
              <w:bottom w:val="single" w:color="000000" w:sz="8" w:space="0"/>
              <w:right w:val="single" w:color="000000" w:sz="8" w:space="0"/>
            </w:tcBorders>
            <w:shd w:val="clear" w:color="auto" w:fill="FFFFFF"/>
          </w:tcPr>
          <w:p>
            <w:pPr>
              <w:snapToGrid w:val="0"/>
              <w:spacing w:line="260" w:lineRule="exact"/>
              <w:jc w:val="center"/>
              <w:rPr>
                <w:rFonts w:ascii="宋体" w:hAnsi="宋体" w:eastAsia="宋体" w:cs="宋体"/>
                <w:b/>
                <w:bCs/>
                <w:szCs w:val="21"/>
              </w:rPr>
            </w:pPr>
            <w:r>
              <w:rPr>
                <w:rFonts w:hint="eastAsia" w:ascii="宋体" w:hAnsi="宋体" w:eastAsia="宋体" w:cs="宋体"/>
                <w:b/>
                <w:bCs/>
                <w:szCs w:val="21"/>
              </w:rPr>
              <w:t>技术部分</w:t>
            </w:r>
          </w:p>
        </w:tc>
        <w:tc>
          <w:tcPr>
            <w:tcW w:w="4961" w:type="dxa"/>
            <w:tcBorders>
              <w:top w:val="single" w:color="000000" w:sz="8" w:space="0"/>
              <w:left w:val="single" w:color="000000" w:sz="8" w:space="0"/>
              <w:bottom w:val="single" w:color="000000" w:sz="8" w:space="0"/>
              <w:right w:val="single" w:color="000000" w:sz="8" w:space="0"/>
            </w:tcBorders>
            <w:shd w:val="clear" w:color="auto" w:fill="FFFFFF"/>
          </w:tcPr>
          <w:p>
            <w:pPr>
              <w:snapToGrid w:val="0"/>
              <w:spacing w:line="260" w:lineRule="exact"/>
              <w:jc w:val="center"/>
              <w:rPr>
                <w:rFonts w:ascii="宋体" w:hAnsi="宋体" w:eastAsia="宋体" w:cs="宋体"/>
                <w:b/>
                <w:bCs/>
                <w:szCs w:val="21"/>
              </w:rPr>
            </w:pPr>
            <w:r>
              <w:rPr>
                <w:rFonts w:hint="eastAsia" w:ascii="宋体" w:hAnsi="宋体" w:eastAsia="宋体" w:cs="宋体"/>
                <w:b/>
                <w:bCs/>
                <w:szCs w:val="21"/>
              </w:rPr>
              <w:t>55</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CellMar>
            <w:top w:w="20" w:type="dxa"/>
            <w:left w:w="108" w:type="dxa"/>
            <w:bottom w:w="20" w:type="dxa"/>
            <w:right w:w="108" w:type="dxa"/>
          </w:tblCellMar>
        </w:tblPrEx>
        <w:trPr>
          <w:jc w:val="center"/>
        </w:trPr>
        <w:tc>
          <w:tcPr>
            <w:tcW w:w="714" w:type="dxa"/>
            <w:vMerge w:val="continue"/>
            <w:tcBorders>
              <w:top w:val="single" w:color="000000" w:sz="8" w:space="0"/>
              <w:left w:val="single" w:color="000000" w:sz="8" w:space="0"/>
              <w:bottom w:val="single" w:color="000000" w:sz="8" w:space="0"/>
              <w:right w:val="single" w:color="000000" w:sz="8" w:space="0"/>
            </w:tcBorders>
            <w:shd w:val="clear" w:color="auto" w:fill="FFFFFF"/>
          </w:tcPr>
          <w:p>
            <w:pPr>
              <w:rPr>
                <w:rFonts w:ascii="Times New Roman" w:hAnsi="Times New Roman" w:eastAsia="宋体" w:cs="Times New Roman"/>
              </w:rPr>
            </w:pPr>
          </w:p>
        </w:tc>
        <w:tc>
          <w:tcPr>
            <w:tcW w:w="646" w:type="dxa"/>
            <w:tcBorders>
              <w:top w:val="inset" w:color="000000" w:sz="6" w:space="0"/>
              <w:left w:val="inset" w:color="000000" w:sz="6" w:space="0"/>
              <w:bottom w:val="inset" w:color="000000" w:sz="6" w:space="0"/>
              <w:right w:val="inset" w:color="000000" w:sz="6" w:space="0"/>
            </w:tcBorders>
            <w:shd w:val="clear" w:color="auto" w:fill="FFFFFF"/>
            <w:vAlign w:val="center"/>
          </w:tcPr>
          <w:p>
            <w:pPr>
              <w:snapToGrid w:val="0"/>
              <w:spacing w:line="260" w:lineRule="exact"/>
              <w:jc w:val="center"/>
              <w:rPr>
                <w:rFonts w:ascii="宋体" w:hAnsi="宋体" w:eastAsia="宋体" w:cs="宋体"/>
                <w:szCs w:val="21"/>
              </w:rPr>
            </w:pPr>
            <w:r>
              <w:rPr>
                <w:rFonts w:hint="eastAsia" w:ascii="宋体" w:hAnsi="宋体" w:eastAsia="宋体" w:cs="宋体"/>
                <w:szCs w:val="21"/>
              </w:rPr>
              <w:t>序号</w:t>
            </w:r>
          </w:p>
        </w:tc>
        <w:tc>
          <w:tcPr>
            <w:tcW w:w="1759" w:type="dxa"/>
            <w:tcBorders>
              <w:top w:val="inset" w:color="000000" w:sz="6" w:space="0"/>
              <w:left w:val="inset" w:color="000000" w:sz="6" w:space="0"/>
              <w:bottom w:val="inset" w:color="000000" w:sz="6" w:space="0"/>
              <w:right w:val="inset" w:color="000000" w:sz="6" w:space="0"/>
            </w:tcBorders>
            <w:shd w:val="clear" w:color="auto" w:fill="FFFFFF"/>
            <w:vAlign w:val="center"/>
          </w:tcPr>
          <w:p>
            <w:pPr>
              <w:snapToGrid w:val="0"/>
              <w:spacing w:line="260" w:lineRule="exact"/>
              <w:jc w:val="center"/>
              <w:rPr>
                <w:rFonts w:ascii="宋体" w:hAnsi="宋体" w:eastAsia="宋体" w:cs="宋体"/>
                <w:szCs w:val="21"/>
              </w:rPr>
            </w:pPr>
            <w:r>
              <w:rPr>
                <w:rFonts w:hint="eastAsia" w:ascii="宋体" w:hAnsi="宋体" w:eastAsia="宋体" w:cs="宋体"/>
                <w:szCs w:val="21"/>
              </w:rPr>
              <w:t>评分因素</w:t>
            </w:r>
          </w:p>
        </w:tc>
        <w:tc>
          <w:tcPr>
            <w:tcW w:w="992" w:type="dxa"/>
            <w:tcBorders>
              <w:top w:val="inset" w:color="000000" w:sz="6" w:space="0"/>
              <w:left w:val="inset" w:color="000000" w:sz="6" w:space="0"/>
              <w:bottom w:val="inset" w:color="000000" w:sz="6" w:space="0"/>
              <w:right w:val="inset" w:color="000000" w:sz="6" w:space="0"/>
            </w:tcBorders>
            <w:shd w:val="clear" w:color="auto" w:fill="FFFFFF"/>
            <w:vAlign w:val="center"/>
          </w:tcPr>
          <w:p>
            <w:pPr>
              <w:snapToGrid w:val="0"/>
              <w:spacing w:line="260" w:lineRule="exact"/>
              <w:jc w:val="center"/>
              <w:rPr>
                <w:rFonts w:ascii="宋体" w:hAnsi="宋体" w:eastAsia="宋体" w:cs="宋体"/>
                <w:szCs w:val="21"/>
              </w:rPr>
            </w:pPr>
            <w:r>
              <w:rPr>
                <w:rFonts w:hint="eastAsia" w:ascii="宋体" w:hAnsi="宋体" w:eastAsia="宋体" w:cs="宋体"/>
                <w:szCs w:val="21"/>
              </w:rPr>
              <w:t>权重（%）</w:t>
            </w:r>
          </w:p>
        </w:tc>
        <w:tc>
          <w:tcPr>
            <w:tcW w:w="4961" w:type="dxa"/>
            <w:tcBorders>
              <w:top w:val="inset" w:color="000000" w:sz="6" w:space="0"/>
              <w:left w:val="inset" w:color="000000" w:sz="6" w:space="0"/>
              <w:bottom w:val="inset" w:color="000000" w:sz="6" w:space="0"/>
              <w:right w:val="inset" w:color="000000" w:sz="6" w:space="0"/>
            </w:tcBorders>
            <w:shd w:val="clear" w:color="auto" w:fill="FFFFFF"/>
            <w:vAlign w:val="center"/>
          </w:tcPr>
          <w:p>
            <w:pPr>
              <w:snapToGrid w:val="0"/>
              <w:spacing w:line="260" w:lineRule="exact"/>
              <w:jc w:val="center"/>
              <w:rPr>
                <w:rFonts w:ascii="宋体" w:hAnsi="宋体" w:eastAsia="宋体" w:cs="宋体"/>
                <w:szCs w:val="21"/>
              </w:rPr>
            </w:pPr>
            <w:r>
              <w:rPr>
                <w:rFonts w:hint="eastAsia" w:ascii="宋体" w:hAnsi="宋体" w:eastAsia="宋体" w:cs="宋体"/>
                <w:szCs w:val="21"/>
              </w:rPr>
              <w:t>评分准则</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CellMar>
            <w:top w:w="20" w:type="dxa"/>
            <w:left w:w="108" w:type="dxa"/>
            <w:bottom w:w="20" w:type="dxa"/>
            <w:right w:w="108" w:type="dxa"/>
          </w:tblCellMar>
        </w:tblPrEx>
        <w:trPr>
          <w:trHeight w:val="1131" w:hRule="atLeast"/>
          <w:jc w:val="center"/>
        </w:trPr>
        <w:tc>
          <w:tcPr>
            <w:tcW w:w="714" w:type="dxa"/>
            <w:vMerge w:val="continue"/>
            <w:tcBorders>
              <w:top w:val="single" w:color="000000" w:sz="8" w:space="0"/>
              <w:left w:val="single" w:color="000000" w:sz="8" w:space="0"/>
              <w:bottom w:val="single" w:color="000000" w:sz="8" w:space="0"/>
              <w:right w:val="single" w:color="000000" w:sz="8" w:space="0"/>
            </w:tcBorders>
            <w:shd w:val="clear" w:color="auto" w:fill="FFFFFF"/>
          </w:tcPr>
          <w:p>
            <w:pPr>
              <w:rPr>
                <w:rFonts w:ascii="Times New Roman" w:hAnsi="Times New Roman" w:eastAsia="宋体" w:cs="Times New Roman"/>
              </w:rPr>
            </w:pPr>
          </w:p>
        </w:tc>
        <w:tc>
          <w:tcPr>
            <w:tcW w:w="646"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spacing w:line="260" w:lineRule="exact"/>
              <w:jc w:val="center"/>
              <w:rPr>
                <w:rFonts w:ascii="宋体" w:hAnsi="宋体" w:eastAsia="宋体" w:cs="宋体"/>
                <w:szCs w:val="21"/>
              </w:rPr>
            </w:pPr>
            <w:r>
              <w:rPr>
                <w:rFonts w:hint="eastAsia" w:ascii="宋体" w:hAnsi="宋体" w:eastAsia="宋体" w:cs="宋体"/>
                <w:szCs w:val="21"/>
              </w:rPr>
              <w:t>1</w:t>
            </w:r>
          </w:p>
        </w:tc>
        <w:tc>
          <w:tcPr>
            <w:tcW w:w="17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spacing w:line="260" w:lineRule="exact"/>
              <w:jc w:val="center"/>
              <w:rPr>
                <w:rFonts w:ascii="宋体" w:hAnsi="宋体" w:eastAsia="宋体" w:cs="宋体"/>
                <w:szCs w:val="21"/>
              </w:rPr>
            </w:pPr>
            <w:r>
              <w:rPr>
                <w:rFonts w:hint="eastAsia" w:ascii="宋体" w:hAnsi="宋体" w:eastAsia="宋体" w:cs="宋体"/>
                <w:szCs w:val="21"/>
              </w:rPr>
              <w:t>项目整体设想及规划方案</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spacing w:line="260" w:lineRule="exact"/>
              <w:jc w:val="center"/>
              <w:rPr>
                <w:rFonts w:ascii="宋体" w:hAnsi="宋体" w:eastAsia="宋体" w:cs="宋体"/>
                <w:szCs w:val="21"/>
              </w:rPr>
            </w:pPr>
            <w:r>
              <w:rPr>
                <w:rFonts w:hint="eastAsia" w:ascii="宋体" w:hAnsi="宋体" w:eastAsia="宋体" w:cs="宋体"/>
                <w:szCs w:val="21"/>
              </w:rPr>
              <w:t>15</w:t>
            </w:r>
          </w:p>
        </w:tc>
        <w:tc>
          <w:tcPr>
            <w:tcW w:w="4961" w:type="dxa"/>
            <w:tcBorders>
              <w:top w:val="single" w:color="000000" w:sz="8" w:space="0"/>
              <w:left w:val="single" w:color="000000" w:sz="8" w:space="0"/>
              <w:bottom w:val="single" w:color="000000" w:sz="8" w:space="0"/>
              <w:right w:val="single" w:color="000000" w:sz="8" w:space="0"/>
            </w:tcBorders>
            <w:shd w:val="clear" w:color="auto" w:fill="FFFFFF"/>
          </w:tcPr>
          <w:p>
            <w:pPr>
              <w:snapToGrid w:val="0"/>
              <w:spacing w:line="260" w:lineRule="exact"/>
              <w:rPr>
                <w:rFonts w:ascii="宋体" w:hAnsi="宋体" w:eastAsia="宋体" w:cs="宋体"/>
                <w:szCs w:val="21"/>
              </w:rPr>
            </w:pPr>
            <w:r>
              <w:rPr>
                <w:rFonts w:hint="eastAsia" w:ascii="宋体" w:hAnsi="宋体" w:eastAsia="宋体" w:cs="宋体"/>
                <w:szCs w:val="21"/>
              </w:rPr>
              <w:t>（一）评分内容</w:t>
            </w:r>
          </w:p>
          <w:p>
            <w:pPr>
              <w:snapToGrid w:val="0"/>
              <w:spacing w:line="260" w:lineRule="exact"/>
              <w:rPr>
                <w:rFonts w:ascii="宋体" w:hAnsi="宋体" w:eastAsia="宋体" w:cs="宋体"/>
                <w:szCs w:val="21"/>
              </w:rPr>
            </w:pPr>
            <w:r>
              <w:rPr>
                <w:rFonts w:hint="eastAsia" w:ascii="宋体" w:hAnsi="宋体" w:eastAsia="宋体" w:cs="宋体"/>
                <w:szCs w:val="21"/>
              </w:rPr>
              <w:t>评标委员会根据投标人提供的项目整体设想及规划方案进行评价，内容包括但不限于：</w:t>
            </w:r>
          </w:p>
          <w:p>
            <w:pPr>
              <w:snapToGrid w:val="0"/>
              <w:spacing w:line="260" w:lineRule="exact"/>
              <w:rPr>
                <w:rFonts w:ascii="宋体" w:hAnsi="宋体" w:eastAsia="宋体" w:cs="宋体"/>
                <w:szCs w:val="21"/>
              </w:rPr>
            </w:pPr>
            <w:r>
              <w:rPr>
                <w:rFonts w:hint="eastAsia" w:ascii="宋体" w:hAnsi="宋体" w:eastAsia="宋体" w:cs="宋体"/>
                <w:szCs w:val="21"/>
              </w:rPr>
              <w:t>（1）项目现状分析；</w:t>
            </w:r>
          </w:p>
          <w:p>
            <w:pPr>
              <w:snapToGrid w:val="0"/>
              <w:spacing w:line="260" w:lineRule="exact"/>
              <w:rPr>
                <w:rFonts w:ascii="宋体" w:hAnsi="宋体" w:eastAsia="宋体" w:cs="宋体"/>
                <w:szCs w:val="21"/>
              </w:rPr>
            </w:pPr>
            <w:r>
              <w:rPr>
                <w:rFonts w:hint="eastAsia" w:ascii="宋体" w:hAnsi="宋体" w:eastAsia="宋体" w:cs="宋体"/>
                <w:szCs w:val="21"/>
              </w:rPr>
              <w:t>（2）项目整体设想与规划；</w:t>
            </w:r>
          </w:p>
          <w:p>
            <w:pPr>
              <w:snapToGrid w:val="0"/>
              <w:spacing w:line="260" w:lineRule="exact"/>
              <w:rPr>
                <w:rFonts w:ascii="宋体" w:hAnsi="宋体" w:eastAsia="宋体" w:cs="宋体"/>
                <w:szCs w:val="21"/>
              </w:rPr>
            </w:pPr>
            <w:r>
              <w:rPr>
                <w:rFonts w:hint="eastAsia" w:ascii="宋体" w:hAnsi="宋体" w:eastAsia="宋体" w:cs="宋体"/>
                <w:szCs w:val="21"/>
              </w:rPr>
              <w:t>（3）项目升值服务。</w:t>
            </w:r>
          </w:p>
          <w:p>
            <w:pPr>
              <w:snapToGrid w:val="0"/>
              <w:spacing w:line="260" w:lineRule="exact"/>
              <w:rPr>
                <w:rFonts w:ascii="宋体" w:hAnsi="宋体" w:eastAsia="宋体" w:cs="宋体"/>
                <w:szCs w:val="21"/>
              </w:rPr>
            </w:pPr>
            <w:r>
              <w:rPr>
                <w:rFonts w:hint="eastAsia" w:ascii="宋体" w:hAnsi="宋体" w:eastAsia="宋体" w:cs="宋体"/>
                <w:szCs w:val="21"/>
              </w:rPr>
              <w:t>（二）评分标准</w:t>
            </w:r>
          </w:p>
          <w:p>
            <w:pPr>
              <w:snapToGrid w:val="0"/>
              <w:spacing w:line="260" w:lineRule="exact"/>
              <w:rPr>
                <w:rFonts w:ascii="宋体" w:hAnsi="宋体" w:eastAsia="宋体" w:cs="宋体"/>
                <w:szCs w:val="21"/>
              </w:rPr>
            </w:pPr>
            <w:r>
              <w:rPr>
                <w:rFonts w:hint="eastAsia" w:ascii="宋体" w:hAnsi="宋体" w:eastAsia="宋体" w:cs="宋体"/>
                <w:szCs w:val="21"/>
              </w:rPr>
              <w:t>1、满足上述三点的得50分，满足任意两点的得30分，满足任意一点的得20分，未满足不得分。</w:t>
            </w:r>
          </w:p>
          <w:p>
            <w:pPr>
              <w:snapToGrid w:val="0"/>
              <w:spacing w:line="260" w:lineRule="exact"/>
              <w:rPr>
                <w:rFonts w:ascii="宋体" w:hAnsi="宋体" w:eastAsia="宋体" w:cs="宋体"/>
                <w:szCs w:val="21"/>
              </w:rPr>
            </w:pPr>
            <w:r>
              <w:rPr>
                <w:rFonts w:hint="eastAsia" w:ascii="宋体" w:hAnsi="宋体" w:eastAsia="宋体" w:cs="宋体"/>
                <w:szCs w:val="21"/>
              </w:rPr>
              <w:t>2、在此基础上，由评审委员会对具体响应内容进一步评审：</w:t>
            </w:r>
          </w:p>
          <w:p>
            <w:pPr>
              <w:snapToGrid w:val="0"/>
              <w:spacing w:line="260" w:lineRule="exact"/>
              <w:rPr>
                <w:rFonts w:ascii="宋体" w:hAnsi="宋体" w:eastAsia="宋体" w:cs="宋体"/>
                <w:szCs w:val="21"/>
              </w:rPr>
            </w:pPr>
            <w:r>
              <w:rPr>
                <w:rFonts w:hint="eastAsia" w:ascii="宋体" w:hAnsi="宋体" w:eastAsia="宋体" w:cs="宋体"/>
                <w:szCs w:val="21"/>
              </w:rPr>
              <w:t>①方案极合理、条理极清晰、可操作性极强的得50分；</w:t>
            </w:r>
          </w:p>
          <w:p>
            <w:pPr>
              <w:snapToGrid w:val="0"/>
              <w:spacing w:line="260" w:lineRule="exact"/>
              <w:rPr>
                <w:rFonts w:ascii="宋体" w:hAnsi="宋体" w:eastAsia="宋体" w:cs="宋体"/>
                <w:szCs w:val="21"/>
              </w:rPr>
            </w:pPr>
            <w:r>
              <w:rPr>
                <w:rFonts w:hint="eastAsia" w:ascii="宋体" w:hAnsi="宋体" w:eastAsia="宋体" w:cs="宋体"/>
                <w:szCs w:val="21"/>
              </w:rPr>
              <w:t>②方案合理、条理清晰、可操作强的得40分；</w:t>
            </w:r>
          </w:p>
          <w:p>
            <w:pPr>
              <w:snapToGrid w:val="0"/>
              <w:spacing w:line="260" w:lineRule="exact"/>
              <w:rPr>
                <w:rFonts w:ascii="宋体" w:hAnsi="宋体" w:eastAsia="宋体" w:cs="宋体"/>
                <w:szCs w:val="21"/>
              </w:rPr>
            </w:pPr>
            <w:r>
              <w:rPr>
                <w:rFonts w:hint="eastAsia" w:ascii="宋体" w:hAnsi="宋体" w:eastAsia="宋体" w:cs="宋体"/>
                <w:szCs w:val="21"/>
              </w:rPr>
              <w:t>③方案较合理、条理较清晰、可操作较强的得30分；</w:t>
            </w:r>
          </w:p>
          <w:p>
            <w:pPr>
              <w:snapToGrid w:val="0"/>
              <w:spacing w:line="260" w:lineRule="exact"/>
              <w:rPr>
                <w:rFonts w:ascii="宋体" w:hAnsi="宋体" w:eastAsia="宋体" w:cs="宋体"/>
                <w:szCs w:val="21"/>
              </w:rPr>
            </w:pPr>
            <w:r>
              <w:rPr>
                <w:rFonts w:hint="eastAsia" w:ascii="宋体" w:hAnsi="宋体" w:eastAsia="宋体" w:cs="宋体"/>
                <w:szCs w:val="21"/>
              </w:rPr>
              <w:t>④方案一般合理、条理一般、可操作一般的得20分；</w:t>
            </w:r>
          </w:p>
          <w:p>
            <w:pPr>
              <w:snapToGrid w:val="0"/>
              <w:spacing w:line="260" w:lineRule="exact"/>
              <w:rPr>
                <w:rFonts w:ascii="宋体" w:hAnsi="宋体" w:eastAsia="宋体" w:cs="宋体"/>
                <w:szCs w:val="21"/>
              </w:rPr>
            </w:pPr>
            <w:r>
              <w:rPr>
                <w:rFonts w:hint="eastAsia" w:ascii="宋体" w:hAnsi="宋体" w:eastAsia="宋体" w:cs="宋体"/>
                <w:szCs w:val="21"/>
              </w:rPr>
              <w:t>⑤方案不合理、条理不清晰、可操作性差的得10分；</w:t>
            </w:r>
          </w:p>
          <w:p>
            <w:pPr>
              <w:snapToGrid w:val="0"/>
              <w:spacing w:line="260" w:lineRule="exact"/>
              <w:rPr>
                <w:rFonts w:ascii="宋体" w:hAnsi="宋体" w:eastAsia="宋体" w:cs="宋体"/>
                <w:szCs w:val="21"/>
              </w:rPr>
            </w:pPr>
            <w:r>
              <w:rPr>
                <w:rFonts w:hint="eastAsia" w:ascii="宋体" w:hAnsi="宋体" w:eastAsia="宋体" w:cs="宋体"/>
                <w:szCs w:val="21"/>
              </w:rPr>
              <w:t>⑥方案极不合理、条理极不清晰、可操作极差的不得分。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CellMar>
            <w:top w:w="20" w:type="dxa"/>
            <w:left w:w="108" w:type="dxa"/>
            <w:bottom w:w="20" w:type="dxa"/>
            <w:right w:w="108" w:type="dxa"/>
          </w:tblCellMar>
        </w:tblPrEx>
        <w:trPr>
          <w:jc w:val="center"/>
        </w:trPr>
        <w:tc>
          <w:tcPr>
            <w:tcW w:w="714" w:type="dxa"/>
            <w:vMerge w:val="continue"/>
            <w:tcBorders>
              <w:top w:val="single" w:color="000000" w:sz="8" w:space="0"/>
              <w:left w:val="single" w:color="000000" w:sz="8" w:space="0"/>
              <w:bottom w:val="single" w:color="000000" w:sz="8" w:space="0"/>
              <w:right w:val="single" w:color="000000" w:sz="8" w:space="0"/>
            </w:tcBorders>
            <w:shd w:val="clear" w:color="auto" w:fill="FFFFFF"/>
          </w:tcPr>
          <w:p>
            <w:pPr>
              <w:rPr>
                <w:rFonts w:ascii="Times New Roman" w:hAnsi="Times New Roman" w:eastAsia="宋体" w:cs="Times New Roman"/>
              </w:rPr>
            </w:pPr>
          </w:p>
        </w:tc>
        <w:tc>
          <w:tcPr>
            <w:tcW w:w="646"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spacing w:line="260" w:lineRule="exact"/>
              <w:jc w:val="center"/>
              <w:rPr>
                <w:rFonts w:ascii="宋体" w:hAnsi="宋体" w:eastAsia="宋体" w:cs="宋体"/>
                <w:szCs w:val="21"/>
              </w:rPr>
            </w:pPr>
            <w:r>
              <w:rPr>
                <w:rFonts w:hint="eastAsia" w:ascii="宋体" w:hAnsi="宋体" w:eastAsia="宋体" w:cs="宋体"/>
                <w:szCs w:val="21"/>
              </w:rPr>
              <w:t>2</w:t>
            </w:r>
          </w:p>
        </w:tc>
        <w:tc>
          <w:tcPr>
            <w:tcW w:w="17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spacing w:line="260" w:lineRule="exact"/>
              <w:jc w:val="center"/>
              <w:rPr>
                <w:rFonts w:ascii="宋体" w:hAnsi="宋体" w:eastAsia="宋体" w:cs="宋体"/>
                <w:b/>
                <w:szCs w:val="21"/>
              </w:rPr>
            </w:pPr>
            <w:r>
              <w:rPr>
                <w:rFonts w:hint="eastAsia" w:ascii="宋体" w:hAnsi="宋体" w:eastAsia="宋体" w:cs="宋体"/>
                <w:bCs/>
                <w:szCs w:val="21"/>
              </w:rPr>
              <w:t>项目重点难点分析、应对措施及相关的合理化建议</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spacing w:line="260" w:lineRule="exact"/>
              <w:jc w:val="center"/>
              <w:rPr>
                <w:rFonts w:ascii="宋体" w:hAnsi="宋体" w:eastAsia="宋体" w:cs="宋体"/>
                <w:szCs w:val="21"/>
              </w:rPr>
            </w:pPr>
            <w:r>
              <w:rPr>
                <w:rFonts w:hint="eastAsia" w:ascii="宋体" w:hAnsi="宋体" w:eastAsia="宋体" w:cs="宋体"/>
                <w:szCs w:val="21"/>
              </w:rPr>
              <w:t>8</w:t>
            </w:r>
          </w:p>
        </w:tc>
        <w:tc>
          <w:tcPr>
            <w:tcW w:w="4961" w:type="dxa"/>
            <w:tcBorders>
              <w:top w:val="single" w:color="000000" w:sz="8" w:space="0"/>
              <w:left w:val="single" w:color="000000" w:sz="8" w:space="0"/>
              <w:bottom w:val="single" w:color="000000" w:sz="8" w:space="0"/>
              <w:right w:val="single" w:color="000000" w:sz="8" w:space="0"/>
            </w:tcBorders>
            <w:shd w:val="clear" w:color="auto" w:fill="FFFFFF"/>
          </w:tcPr>
          <w:p>
            <w:pPr>
              <w:snapToGrid w:val="0"/>
              <w:spacing w:line="260" w:lineRule="exact"/>
              <w:rPr>
                <w:rFonts w:ascii="宋体" w:hAnsi="宋体" w:eastAsia="宋体" w:cs="宋体"/>
                <w:szCs w:val="21"/>
              </w:rPr>
            </w:pPr>
            <w:r>
              <w:rPr>
                <w:rFonts w:hint="eastAsia" w:ascii="宋体" w:hAnsi="宋体" w:eastAsia="宋体" w:cs="宋体"/>
                <w:szCs w:val="21"/>
              </w:rPr>
              <w:t>（一）评分内容</w:t>
            </w:r>
          </w:p>
          <w:p>
            <w:pPr>
              <w:snapToGrid w:val="0"/>
              <w:spacing w:line="260" w:lineRule="exact"/>
              <w:rPr>
                <w:rFonts w:ascii="宋体" w:hAnsi="宋体" w:eastAsia="宋体" w:cs="宋体"/>
                <w:szCs w:val="21"/>
              </w:rPr>
            </w:pPr>
            <w:r>
              <w:rPr>
                <w:rFonts w:hint="eastAsia" w:ascii="宋体" w:hAnsi="宋体" w:eastAsia="宋体" w:cs="宋体"/>
                <w:szCs w:val="21"/>
              </w:rPr>
              <w:t>评标委员会根据投标人提供的项目重点难点分析、应对措施及相关的合理化建议进行评价，内容包括但不限于：</w:t>
            </w:r>
          </w:p>
          <w:p>
            <w:pPr>
              <w:snapToGrid w:val="0"/>
              <w:spacing w:line="260" w:lineRule="exact"/>
              <w:rPr>
                <w:rFonts w:ascii="宋体" w:hAnsi="宋体" w:eastAsia="宋体" w:cs="宋体"/>
                <w:szCs w:val="21"/>
              </w:rPr>
            </w:pPr>
            <w:r>
              <w:rPr>
                <w:rFonts w:hint="eastAsia" w:ascii="宋体" w:hAnsi="宋体" w:eastAsia="宋体" w:cs="宋体"/>
                <w:szCs w:val="21"/>
              </w:rPr>
              <w:t>（1）项目重点难点分析；</w:t>
            </w:r>
          </w:p>
          <w:p>
            <w:pPr>
              <w:snapToGrid w:val="0"/>
              <w:spacing w:line="260" w:lineRule="exact"/>
              <w:rPr>
                <w:rFonts w:ascii="宋体" w:hAnsi="宋体" w:eastAsia="宋体" w:cs="宋体"/>
                <w:szCs w:val="21"/>
              </w:rPr>
            </w:pPr>
            <w:r>
              <w:rPr>
                <w:rFonts w:hint="eastAsia" w:ascii="宋体" w:hAnsi="宋体" w:eastAsia="宋体" w:cs="宋体"/>
                <w:szCs w:val="21"/>
              </w:rPr>
              <w:t>（2）具体应对措施及合理化建议。</w:t>
            </w:r>
          </w:p>
          <w:p>
            <w:pPr>
              <w:snapToGrid w:val="0"/>
              <w:spacing w:line="260" w:lineRule="exact"/>
              <w:rPr>
                <w:rFonts w:ascii="宋体" w:hAnsi="宋体" w:eastAsia="宋体" w:cs="宋体"/>
                <w:szCs w:val="21"/>
              </w:rPr>
            </w:pPr>
            <w:r>
              <w:rPr>
                <w:rFonts w:hint="eastAsia" w:ascii="宋体" w:hAnsi="宋体" w:eastAsia="宋体" w:cs="宋体"/>
                <w:szCs w:val="21"/>
              </w:rPr>
              <w:t>（二）评分标准</w:t>
            </w:r>
          </w:p>
          <w:p>
            <w:pPr>
              <w:snapToGrid w:val="0"/>
              <w:spacing w:line="260" w:lineRule="exact"/>
              <w:rPr>
                <w:rFonts w:ascii="宋体" w:hAnsi="宋体" w:eastAsia="宋体" w:cs="宋体"/>
                <w:szCs w:val="21"/>
              </w:rPr>
            </w:pPr>
            <w:r>
              <w:rPr>
                <w:rFonts w:hint="eastAsia" w:ascii="宋体" w:hAnsi="宋体" w:eastAsia="宋体" w:cs="宋体"/>
                <w:szCs w:val="21"/>
              </w:rPr>
              <w:t>1、满足上述两点的得60分,满足任意一点的得30分，未满足不得分。</w:t>
            </w:r>
          </w:p>
          <w:p>
            <w:pPr>
              <w:snapToGrid w:val="0"/>
              <w:spacing w:line="260" w:lineRule="exact"/>
              <w:rPr>
                <w:rFonts w:ascii="宋体" w:hAnsi="宋体" w:eastAsia="宋体" w:cs="宋体"/>
                <w:szCs w:val="21"/>
              </w:rPr>
            </w:pPr>
            <w:r>
              <w:rPr>
                <w:rFonts w:hint="eastAsia" w:ascii="宋体" w:hAnsi="宋体" w:eastAsia="宋体" w:cs="宋体"/>
                <w:szCs w:val="21"/>
              </w:rPr>
              <w:t>2、在此基础上，专家根据各投标人的具体响应内容进一步评审：</w:t>
            </w:r>
          </w:p>
          <w:p>
            <w:pPr>
              <w:snapToGrid w:val="0"/>
              <w:spacing w:line="260" w:lineRule="exact"/>
              <w:rPr>
                <w:rFonts w:ascii="宋体" w:hAnsi="宋体" w:eastAsia="宋体" w:cs="宋体"/>
                <w:szCs w:val="21"/>
              </w:rPr>
            </w:pPr>
            <w:r>
              <w:rPr>
                <w:rFonts w:hint="eastAsia" w:ascii="宋体" w:hAnsi="宋体" w:eastAsia="宋体" w:cs="宋体"/>
                <w:szCs w:val="21"/>
              </w:rPr>
              <w:t>①评审为优：项目重点难点分析、应对措施及相关的合理化建议合理可行，满足服务要求，针对性强，得40分；</w:t>
            </w:r>
          </w:p>
          <w:p>
            <w:pPr>
              <w:snapToGrid w:val="0"/>
              <w:spacing w:line="260" w:lineRule="exact"/>
              <w:rPr>
                <w:rFonts w:ascii="宋体" w:hAnsi="宋体" w:eastAsia="宋体" w:cs="宋体"/>
                <w:szCs w:val="21"/>
              </w:rPr>
            </w:pPr>
            <w:r>
              <w:rPr>
                <w:rFonts w:hint="eastAsia" w:ascii="宋体" w:hAnsi="宋体" w:eastAsia="宋体" w:cs="宋体"/>
                <w:szCs w:val="21"/>
              </w:rPr>
              <w:t>②评审为良：项目重点难点分析、应对措施及相关的合理化建议比较合理可行，比较满足服务要求，针对性强，得20分；</w:t>
            </w:r>
          </w:p>
          <w:p>
            <w:pPr>
              <w:snapToGrid w:val="0"/>
              <w:spacing w:line="260" w:lineRule="exact"/>
              <w:rPr>
                <w:rFonts w:ascii="宋体" w:hAnsi="宋体" w:eastAsia="宋体" w:cs="宋体"/>
                <w:szCs w:val="21"/>
              </w:rPr>
            </w:pPr>
            <w:r>
              <w:rPr>
                <w:rFonts w:hint="eastAsia" w:ascii="宋体" w:hAnsi="宋体" w:eastAsia="宋体" w:cs="宋体"/>
                <w:szCs w:val="21"/>
              </w:rPr>
              <w:t xml:space="preserve">③评审为中：项目重点难点分析、应对措施及相关的合理化建议基本合理可行，基本满足服务要求，针对性一般，得10分； </w:t>
            </w:r>
          </w:p>
          <w:p>
            <w:pPr>
              <w:snapToGrid w:val="0"/>
              <w:spacing w:line="260" w:lineRule="exact"/>
              <w:rPr>
                <w:rFonts w:ascii="宋体" w:hAnsi="宋体" w:eastAsia="宋体" w:cs="宋体"/>
                <w:szCs w:val="21"/>
              </w:rPr>
            </w:pPr>
            <w:r>
              <w:rPr>
                <w:rFonts w:hint="eastAsia" w:ascii="宋体" w:hAnsi="宋体" w:eastAsia="宋体" w:cs="宋体"/>
                <w:szCs w:val="21"/>
              </w:rPr>
              <w:t>④评审为差：项目重点难点分析、应对措施及相关的合理化建议不完整、合理，不能满足服务需要，不得分。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CellMar>
            <w:top w:w="20" w:type="dxa"/>
            <w:left w:w="108" w:type="dxa"/>
            <w:bottom w:w="20" w:type="dxa"/>
            <w:right w:w="108" w:type="dxa"/>
          </w:tblCellMar>
        </w:tblPrEx>
        <w:trPr>
          <w:jc w:val="center"/>
        </w:trPr>
        <w:tc>
          <w:tcPr>
            <w:tcW w:w="714" w:type="dxa"/>
            <w:vMerge w:val="continue"/>
            <w:tcBorders>
              <w:top w:val="single" w:color="000000" w:sz="8" w:space="0"/>
              <w:left w:val="single" w:color="000000" w:sz="8" w:space="0"/>
              <w:bottom w:val="single" w:color="000000" w:sz="8" w:space="0"/>
              <w:right w:val="single" w:color="000000" w:sz="8" w:space="0"/>
            </w:tcBorders>
            <w:shd w:val="clear" w:color="auto" w:fill="FFFFFF"/>
          </w:tcPr>
          <w:p>
            <w:pPr>
              <w:rPr>
                <w:rFonts w:ascii="Times New Roman" w:hAnsi="Times New Roman" w:eastAsia="宋体" w:cs="Times New Roman"/>
              </w:rPr>
            </w:pPr>
          </w:p>
        </w:tc>
        <w:tc>
          <w:tcPr>
            <w:tcW w:w="646"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spacing w:line="260" w:lineRule="exact"/>
              <w:jc w:val="center"/>
              <w:rPr>
                <w:rFonts w:ascii="宋体" w:hAnsi="宋体" w:eastAsia="宋体" w:cs="宋体"/>
                <w:szCs w:val="21"/>
              </w:rPr>
            </w:pPr>
            <w:r>
              <w:rPr>
                <w:rFonts w:hint="eastAsia" w:ascii="宋体" w:hAnsi="宋体" w:eastAsia="宋体" w:cs="宋体"/>
                <w:szCs w:val="21"/>
              </w:rPr>
              <w:t>3</w:t>
            </w:r>
          </w:p>
        </w:tc>
        <w:tc>
          <w:tcPr>
            <w:tcW w:w="17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spacing w:line="260" w:lineRule="exact"/>
              <w:jc w:val="center"/>
              <w:rPr>
                <w:rFonts w:ascii="宋体" w:hAnsi="宋体" w:eastAsia="宋体" w:cs="宋体"/>
                <w:bCs/>
                <w:szCs w:val="21"/>
              </w:rPr>
            </w:pPr>
            <w:r>
              <w:rPr>
                <w:rFonts w:hint="eastAsia" w:ascii="宋体" w:hAnsi="宋体" w:eastAsia="宋体" w:cs="宋体"/>
                <w:bCs/>
                <w:szCs w:val="21"/>
              </w:rPr>
              <w:t>后勤保障服务方案</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spacing w:line="260" w:lineRule="exact"/>
              <w:jc w:val="center"/>
              <w:rPr>
                <w:rFonts w:ascii="宋体" w:hAnsi="宋体" w:eastAsia="宋体" w:cs="宋体"/>
                <w:szCs w:val="21"/>
              </w:rPr>
            </w:pPr>
            <w:r>
              <w:rPr>
                <w:rFonts w:hint="eastAsia" w:ascii="宋体" w:hAnsi="宋体" w:eastAsia="宋体" w:cs="宋体"/>
                <w:szCs w:val="21"/>
              </w:rPr>
              <w:t>7</w:t>
            </w:r>
          </w:p>
        </w:tc>
        <w:tc>
          <w:tcPr>
            <w:tcW w:w="4961" w:type="dxa"/>
            <w:tcBorders>
              <w:top w:val="single" w:color="000000" w:sz="8" w:space="0"/>
              <w:left w:val="single" w:color="000000" w:sz="8" w:space="0"/>
              <w:bottom w:val="single" w:color="000000" w:sz="8" w:space="0"/>
              <w:right w:val="single" w:color="000000" w:sz="8" w:space="0"/>
            </w:tcBorders>
            <w:shd w:val="clear" w:color="auto" w:fill="FFFFFF"/>
          </w:tcPr>
          <w:p>
            <w:pPr>
              <w:snapToGrid w:val="0"/>
              <w:spacing w:line="260" w:lineRule="exact"/>
              <w:rPr>
                <w:rFonts w:ascii="宋体" w:hAnsi="宋体" w:eastAsia="宋体" w:cs="宋体"/>
                <w:szCs w:val="21"/>
              </w:rPr>
            </w:pPr>
            <w:r>
              <w:rPr>
                <w:rFonts w:hint="eastAsia" w:ascii="宋体" w:hAnsi="宋体" w:eastAsia="宋体" w:cs="宋体"/>
                <w:szCs w:val="21"/>
              </w:rPr>
              <w:t>（一）评分内容</w:t>
            </w:r>
          </w:p>
          <w:p>
            <w:pPr>
              <w:snapToGrid w:val="0"/>
              <w:spacing w:line="260" w:lineRule="exact"/>
              <w:rPr>
                <w:rFonts w:ascii="宋体" w:hAnsi="宋体" w:eastAsia="宋体" w:cs="宋体"/>
                <w:szCs w:val="21"/>
              </w:rPr>
            </w:pPr>
            <w:r>
              <w:rPr>
                <w:rFonts w:hint="eastAsia" w:ascii="宋体" w:hAnsi="宋体" w:eastAsia="宋体" w:cs="宋体"/>
                <w:szCs w:val="21"/>
              </w:rPr>
              <w:t>评标委员会根据投标人提供的后勤保障服务方案进行评价，内容包括但不限于：</w:t>
            </w:r>
          </w:p>
          <w:p>
            <w:pPr>
              <w:snapToGrid w:val="0"/>
              <w:spacing w:line="260" w:lineRule="exact"/>
              <w:rPr>
                <w:rFonts w:ascii="宋体" w:hAnsi="宋体" w:eastAsia="宋体" w:cs="宋体"/>
                <w:szCs w:val="21"/>
              </w:rPr>
            </w:pPr>
            <w:r>
              <w:rPr>
                <w:rFonts w:hint="eastAsia" w:ascii="宋体" w:hAnsi="宋体" w:eastAsia="宋体" w:cs="宋体"/>
                <w:szCs w:val="21"/>
              </w:rPr>
              <w:t>（1）项目团队人员配置；</w:t>
            </w:r>
          </w:p>
          <w:p>
            <w:pPr>
              <w:snapToGrid w:val="0"/>
              <w:spacing w:line="260" w:lineRule="exact"/>
              <w:rPr>
                <w:rFonts w:ascii="宋体" w:hAnsi="宋体" w:eastAsia="宋体" w:cs="宋体"/>
                <w:szCs w:val="21"/>
              </w:rPr>
            </w:pPr>
            <w:r>
              <w:rPr>
                <w:rFonts w:hint="eastAsia" w:ascii="宋体" w:hAnsi="宋体" w:eastAsia="宋体" w:cs="宋体"/>
                <w:szCs w:val="21"/>
              </w:rPr>
              <w:t>（2）外籍教师管理制度；</w:t>
            </w:r>
          </w:p>
          <w:p>
            <w:pPr>
              <w:snapToGrid w:val="0"/>
              <w:spacing w:line="260" w:lineRule="exact"/>
              <w:rPr>
                <w:rFonts w:ascii="宋体" w:hAnsi="宋体" w:eastAsia="宋体" w:cs="宋体"/>
                <w:szCs w:val="21"/>
              </w:rPr>
            </w:pPr>
            <w:r>
              <w:rPr>
                <w:rFonts w:hint="eastAsia" w:ascii="宋体" w:hAnsi="宋体" w:eastAsia="宋体" w:cs="宋体"/>
                <w:szCs w:val="21"/>
              </w:rPr>
              <w:t>（3）突发事件应急处置。</w:t>
            </w:r>
          </w:p>
          <w:p>
            <w:pPr>
              <w:snapToGrid w:val="0"/>
              <w:spacing w:line="260" w:lineRule="exact"/>
              <w:rPr>
                <w:rFonts w:ascii="宋体" w:hAnsi="宋体" w:eastAsia="宋体" w:cs="宋体"/>
                <w:szCs w:val="21"/>
              </w:rPr>
            </w:pPr>
            <w:r>
              <w:rPr>
                <w:rFonts w:hint="eastAsia" w:ascii="宋体" w:hAnsi="宋体" w:eastAsia="宋体" w:cs="宋体"/>
                <w:szCs w:val="21"/>
              </w:rPr>
              <w:t>（二）评分标准</w:t>
            </w:r>
          </w:p>
          <w:p>
            <w:pPr>
              <w:snapToGrid w:val="0"/>
              <w:spacing w:line="260" w:lineRule="exact"/>
              <w:rPr>
                <w:rFonts w:ascii="宋体" w:hAnsi="宋体" w:eastAsia="宋体" w:cs="宋体"/>
                <w:szCs w:val="21"/>
              </w:rPr>
            </w:pPr>
            <w:r>
              <w:rPr>
                <w:rFonts w:hint="eastAsia" w:ascii="宋体" w:hAnsi="宋体" w:eastAsia="宋体" w:cs="宋体"/>
                <w:szCs w:val="21"/>
              </w:rPr>
              <w:t>1、满足上述三点的得50分，满足任意两点的得30分，满足任意一点的得20分，未满足不得分。</w:t>
            </w:r>
          </w:p>
          <w:p>
            <w:pPr>
              <w:snapToGrid w:val="0"/>
              <w:spacing w:line="260" w:lineRule="exact"/>
              <w:rPr>
                <w:rFonts w:ascii="宋体" w:hAnsi="宋体" w:eastAsia="宋体" w:cs="宋体"/>
                <w:szCs w:val="21"/>
              </w:rPr>
            </w:pPr>
            <w:r>
              <w:rPr>
                <w:rFonts w:hint="eastAsia" w:ascii="宋体" w:hAnsi="宋体" w:eastAsia="宋体" w:cs="宋体"/>
                <w:szCs w:val="21"/>
              </w:rPr>
              <w:t>2、在此基础上，由评审委员会对具体响应内容进一步评审：</w:t>
            </w:r>
          </w:p>
          <w:p>
            <w:pPr>
              <w:snapToGrid w:val="0"/>
              <w:spacing w:line="260" w:lineRule="exact"/>
              <w:rPr>
                <w:rFonts w:ascii="宋体" w:hAnsi="宋体" w:eastAsia="宋体" w:cs="宋体"/>
                <w:szCs w:val="21"/>
              </w:rPr>
            </w:pPr>
            <w:r>
              <w:rPr>
                <w:rFonts w:hint="eastAsia" w:ascii="宋体" w:hAnsi="宋体" w:eastAsia="宋体" w:cs="宋体"/>
                <w:szCs w:val="21"/>
              </w:rPr>
              <w:t>①方案极合理、条理极清晰、可操作性极强的得50分；</w:t>
            </w:r>
          </w:p>
          <w:p>
            <w:pPr>
              <w:snapToGrid w:val="0"/>
              <w:spacing w:line="260" w:lineRule="exact"/>
              <w:rPr>
                <w:rFonts w:ascii="宋体" w:hAnsi="宋体" w:eastAsia="宋体" w:cs="宋体"/>
                <w:szCs w:val="21"/>
              </w:rPr>
            </w:pPr>
            <w:r>
              <w:rPr>
                <w:rFonts w:hint="eastAsia" w:ascii="宋体" w:hAnsi="宋体" w:eastAsia="宋体" w:cs="宋体"/>
                <w:szCs w:val="21"/>
              </w:rPr>
              <w:t>②方案合理、条理清晰、可操作强的得40分；</w:t>
            </w:r>
          </w:p>
          <w:p>
            <w:pPr>
              <w:snapToGrid w:val="0"/>
              <w:spacing w:line="260" w:lineRule="exact"/>
              <w:rPr>
                <w:rFonts w:ascii="宋体" w:hAnsi="宋体" w:eastAsia="宋体" w:cs="宋体"/>
                <w:szCs w:val="21"/>
              </w:rPr>
            </w:pPr>
            <w:r>
              <w:rPr>
                <w:rFonts w:hint="eastAsia" w:ascii="宋体" w:hAnsi="宋体" w:eastAsia="宋体" w:cs="宋体"/>
                <w:szCs w:val="21"/>
              </w:rPr>
              <w:t>③方案较合理、条理较清晰、可操作较强的得30分；</w:t>
            </w:r>
          </w:p>
          <w:p>
            <w:pPr>
              <w:snapToGrid w:val="0"/>
              <w:spacing w:line="260" w:lineRule="exact"/>
              <w:rPr>
                <w:rFonts w:ascii="宋体" w:hAnsi="宋体" w:eastAsia="宋体" w:cs="宋体"/>
                <w:szCs w:val="21"/>
              </w:rPr>
            </w:pPr>
            <w:r>
              <w:rPr>
                <w:rFonts w:hint="eastAsia" w:ascii="宋体" w:hAnsi="宋体" w:eastAsia="宋体" w:cs="宋体"/>
                <w:szCs w:val="21"/>
              </w:rPr>
              <w:t>④方案一般合理、条理一般、可操作一般的得20分；</w:t>
            </w:r>
          </w:p>
          <w:p>
            <w:pPr>
              <w:snapToGrid w:val="0"/>
              <w:spacing w:line="260" w:lineRule="exact"/>
              <w:rPr>
                <w:rFonts w:ascii="宋体" w:hAnsi="宋体" w:eastAsia="宋体" w:cs="宋体"/>
                <w:szCs w:val="21"/>
              </w:rPr>
            </w:pPr>
            <w:r>
              <w:rPr>
                <w:rFonts w:hint="eastAsia" w:ascii="宋体" w:hAnsi="宋体" w:eastAsia="宋体" w:cs="宋体"/>
                <w:szCs w:val="21"/>
              </w:rPr>
              <w:t>⑤方案不合理、条理不清晰、可操作性差的得10分；</w:t>
            </w:r>
          </w:p>
          <w:p>
            <w:pPr>
              <w:snapToGrid w:val="0"/>
              <w:spacing w:line="260" w:lineRule="exact"/>
              <w:rPr>
                <w:rFonts w:ascii="宋体" w:hAnsi="宋体" w:eastAsia="宋体" w:cs="宋体"/>
                <w:szCs w:val="21"/>
              </w:rPr>
            </w:pPr>
            <w:r>
              <w:rPr>
                <w:rFonts w:hint="eastAsia" w:ascii="宋体" w:hAnsi="宋体" w:eastAsia="宋体" w:cs="宋体"/>
                <w:szCs w:val="21"/>
              </w:rPr>
              <w:t>⑥方案极不合理、条理极不清晰、可操作极差的不得分。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CellMar>
            <w:top w:w="20" w:type="dxa"/>
            <w:left w:w="108" w:type="dxa"/>
            <w:bottom w:w="20" w:type="dxa"/>
            <w:right w:w="108" w:type="dxa"/>
          </w:tblCellMar>
        </w:tblPrEx>
        <w:trPr>
          <w:jc w:val="center"/>
        </w:trPr>
        <w:tc>
          <w:tcPr>
            <w:tcW w:w="714" w:type="dxa"/>
            <w:vMerge w:val="continue"/>
            <w:tcBorders>
              <w:top w:val="single" w:color="000000" w:sz="8" w:space="0"/>
              <w:left w:val="single" w:color="000000" w:sz="8" w:space="0"/>
              <w:bottom w:val="single" w:color="000000" w:sz="8" w:space="0"/>
              <w:right w:val="single" w:color="000000" w:sz="8" w:space="0"/>
            </w:tcBorders>
            <w:shd w:val="clear" w:color="auto" w:fill="FFFFFF"/>
          </w:tcPr>
          <w:p>
            <w:pPr>
              <w:rPr>
                <w:rFonts w:ascii="Times New Roman" w:hAnsi="Times New Roman" w:eastAsia="宋体" w:cs="Times New Roman"/>
              </w:rPr>
            </w:pPr>
          </w:p>
        </w:tc>
        <w:tc>
          <w:tcPr>
            <w:tcW w:w="646"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spacing w:line="260" w:lineRule="exact"/>
              <w:jc w:val="center"/>
              <w:rPr>
                <w:rFonts w:ascii="宋体" w:hAnsi="宋体" w:eastAsia="宋体" w:cs="宋体"/>
                <w:szCs w:val="21"/>
              </w:rPr>
            </w:pPr>
            <w:r>
              <w:rPr>
                <w:rFonts w:hint="eastAsia" w:ascii="宋体" w:hAnsi="宋体" w:eastAsia="宋体" w:cs="宋体"/>
                <w:szCs w:val="21"/>
              </w:rPr>
              <w:t>4</w:t>
            </w:r>
          </w:p>
        </w:tc>
        <w:tc>
          <w:tcPr>
            <w:tcW w:w="17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spacing w:line="260" w:lineRule="exact"/>
              <w:jc w:val="center"/>
              <w:rPr>
                <w:rFonts w:ascii="宋体" w:hAnsi="宋体" w:eastAsia="宋体" w:cs="宋体"/>
                <w:bCs/>
                <w:szCs w:val="21"/>
              </w:rPr>
            </w:pPr>
            <w:r>
              <w:rPr>
                <w:rFonts w:hint="eastAsia" w:ascii="宋体" w:hAnsi="宋体" w:eastAsia="宋体" w:cs="宋体"/>
                <w:bCs/>
                <w:szCs w:val="21"/>
              </w:rPr>
              <w:t>项目负责人（仅限1人）情况</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spacing w:line="260" w:lineRule="exact"/>
              <w:jc w:val="center"/>
              <w:rPr>
                <w:rFonts w:ascii="宋体" w:hAnsi="宋体" w:eastAsia="宋体" w:cs="宋体"/>
                <w:szCs w:val="21"/>
              </w:rPr>
            </w:pPr>
            <w:r>
              <w:rPr>
                <w:rFonts w:hint="eastAsia" w:ascii="宋体" w:hAnsi="宋体" w:eastAsia="宋体" w:cs="宋体"/>
                <w:szCs w:val="21"/>
              </w:rPr>
              <w:t>15</w:t>
            </w:r>
          </w:p>
        </w:tc>
        <w:tc>
          <w:tcPr>
            <w:tcW w:w="4961" w:type="dxa"/>
            <w:tcBorders>
              <w:top w:val="single" w:color="000000" w:sz="8" w:space="0"/>
              <w:left w:val="single" w:color="000000" w:sz="8" w:space="0"/>
              <w:bottom w:val="single" w:color="000000" w:sz="8" w:space="0"/>
              <w:right w:val="single" w:color="000000" w:sz="8" w:space="0"/>
            </w:tcBorders>
            <w:shd w:val="clear" w:color="auto" w:fill="FFFFFF"/>
          </w:tcPr>
          <w:p>
            <w:pPr>
              <w:snapToGrid w:val="0"/>
              <w:spacing w:line="260" w:lineRule="exact"/>
              <w:rPr>
                <w:rFonts w:ascii="宋体" w:hAnsi="宋体" w:eastAsia="宋体" w:cs="宋体"/>
                <w:szCs w:val="21"/>
              </w:rPr>
            </w:pPr>
            <w:r>
              <w:rPr>
                <w:rFonts w:hint="eastAsia" w:ascii="宋体" w:hAnsi="宋体" w:eastAsia="宋体" w:cs="宋体"/>
                <w:szCs w:val="21"/>
              </w:rPr>
              <w:t>（一）评分内容</w:t>
            </w:r>
          </w:p>
          <w:p>
            <w:pPr>
              <w:snapToGrid w:val="0"/>
              <w:spacing w:line="260" w:lineRule="exact"/>
              <w:rPr>
                <w:rFonts w:ascii="宋体" w:hAnsi="宋体" w:eastAsia="宋体" w:cs="宋体"/>
                <w:szCs w:val="21"/>
              </w:rPr>
            </w:pPr>
            <w:r>
              <w:rPr>
                <w:rFonts w:hint="eastAsia" w:ascii="宋体" w:hAnsi="宋体" w:eastAsia="宋体" w:cs="宋体"/>
                <w:szCs w:val="21"/>
              </w:rPr>
              <w:t>对供应商拟安排的项目负责人(仅限1人)进行评分：</w:t>
            </w:r>
          </w:p>
          <w:p>
            <w:pPr>
              <w:snapToGrid w:val="0"/>
              <w:spacing w:line="260" w:lineRule="exact"/>
              <w:rPr>
                <w:rFonts w:ascii="宋体" w:hAnsi="宋体" w:eastAsia="宋体" w:cs="宋体"/>
                <w:szCs w:val="21"/>
              </w:rPr>
            </w:pPr>
            <w:r>
              <w:rPr>
                <w:rFonts w:hint="eastAsia" w:ascii="宋体" w:hAnsi="宋体" w:eastAsia="宋体" w:cs="宋体"/>
                <w:szCs w:val="21"/>
              </w:rPr>
              <w:t>（1）具有学士学位的得20分，硕士学位的得40分，博士学位的得70分,本项最高得70分；</w:t>
            </w:r>
          </w:p>
          <w:p>
            <w:pPr>
              <w:snapToGrid w:val="0"/>
              <w:spacing w:line="260" w:lineRule="exact"/>
              <w:rPr>
                <w:rFonts w:ascii="宋体" w:hAnsi="宋体" w:eastAsia="宋体" w:cs="宋体"/>
                <w:szCs w:val="21"/>
              </w:rPr>
            </w:pPr>
            <w:r>
              <w:rPr>
                <w:rFonts w:hint="eastAsia" w:ascii="宋体" w:hAnsi="宋体" w:eastAsia="宋体" w:cs="宋体"/>
                <w:szCs w:val="21"/>
              </w:rPr>
              <w:t>（2）英语或德语专业毕业，得10分；</w:t>
            </w:r>
          </w:p>
          <w:p>
            <w:pPr>
              <w:snapToGrid w:val="0"/>
              <w:spacing w:line="260" w:lineRule="exact"/>
              <w:rPr>
                <w:rFonts w:ascii="宋体" w:hAnsi="宋体" w:eastAsia="宋体" w:cs="宋体"/>
                <w:szCs w:val="21"/>
              </w:rPr>
            </w:pPr>
            <w:r>
              <w:rPr>
                <w:rFonts w:hint="eastAsia" w:ascii="宋体" w:hAnsi="宋体" w:eastAsia="宋体" w:cs="宋体"/>
                <w:szCs w:val="21"/>
              </w:rPr>
              <w:t>（3）具有海外工作经验，得20分。</w:t>
            </w:r>
          </w:p>
          <w:p>
            <w:pPr>
              <w:snapToGrid w:val="0"/>
              <w:spacing w:line="260" w:lineRule="exact"/>
              <w:rPr>
                <w:rFonts w:ascii="宋体" w:hAnsi="宋体" w:eastAsia="宋体" w:cs="宋体"/>
                <w:szCs w:val="21"/>
              </w:rPr>
            </w:pPr>
            <w:r>
              <w:rPr>
                <w:rFonts w:hint="eastAsia" w:ascii="宋体" w:hAnsi="宋体" w:eastAsia="宋体" w:cs="宋体"/>
                <w:szCs w:val="21"/>
              </w:rPr>
              <w:t>以上合计最高得100分。</w:t>
            </w:r>
          </w:p>
          <w:p>
            <w:pPr>
              <w:snapToGrid w:val="0"/>
              <w:spacing w:line="260" w:lineRule="exact"/>
              <w:rPr>
                <w:rFonts w:ascii="宋体" w:hAnsi="宋体" w:eastAsia="宋体" w:cs="宋体"/>
                <w:szCs w:val="21"/>
              </w:rPr>
            </w:pPr>
            <w:r>
              <w:rPr>
                <w:rFonts w:hint="eastAsia" w:ascii="宋体" w:hAnsi="宋体" w:eastAsia="宋体" w:cs="宋体"/>
                <w:szCs w:val="21"/>
              </w:rPr>
              <w:t>（二）评分标准</w:t>
            </w:r>
          </w:p>
          <w:p>
            <w:pPr>
              <w:snapToGrid w:val="0"/>
              <w:spacing w:line="260" w:lineRule="exact"/>
              <w:rPr>
                <w:rFonts w:ascii="宋体" w:hAnsi="宋体" w:eastAsia="宋体" w:cs="宋体"/>
                <w:szCs w:val="21"/>
              </w:rPr>
            </w:pPr>
            <w:r>
              <w:rPr>
                <w:rFonts w:hint="eastAsia" w:ascii="宋体" w:hAnsi="宋体" w:eastAsia="宋体" w:cs="宋体"/>
                <w:szCs w:val="21"/>
              </w:rPr>
              <w:t>1、提供相关证明文件扫描件，原件备查；</w:t>
            </w:r>
          </w:p>
          <w:p>
            <w:pPr>
              <w:snapToGrid w:val="0"/>
              <w:spacing w:line="260" w:lineRule="exact"/>
              <w:rPr>
                <w:rFonts w:ascii="宋体" w:hAnsi="宋体" w:eastAsia="宋体" w:cs="宋体"/>
                <w:szCs w:val="21"/>
              </w:rPr>
            </w:pPr>
            <w:r>
              <w:rPr>
                <w:rFonts w:hint="eastAsia" w:ascii="宋体" w:hAnsi="宋体" w:eastAsia="宋体" w:cs="宋体"/>
                <w:szCs w:val="21"/>
              </w:rPr>
              <w:t>（1）涉及学位（学历）或专业，需提供学位（学历）证书：①学位（学历）证书在中国境内获得的，提供有效学历证书扫描件及学信网查询记录截图（如较早颁发的学历证书，学信网无法查询的，可提供毕业院校或教育或人社部门等颁发机构或监管机构等出具的证明）；②如海外留学（含港澳台）学历无法通过学信网站查询的，应当提供教育部留学服务中心出具的国外学历学位认证证书以及教育部留学服务中心官网查询截图；或者经中国驻外使、领馆或者获得学历所在国驻华使、领馆认证。</w:t>
            </w:r>
          </w:p>
          <w:p>
            <w:pPr>
              <w:snapToGrid w:val="0"/>
              <w:spacing w:line="260" w:lineRule="exact"/>
              <w:rPr>
                <w:rFonts w:ascii="宋体" w:hAnsi="宋体" w:eastAsia="宋体" w:cs="宋体"/>
                <w:szCs w:val="21"/>
              </w:rPr>
            </w:pPr>
            <w:r>
              <w:rPr>
                <w:rFonts w:hint="eastAsia" w:ascii="宋体" w:hAnsi="宋体" w:eastAsia="宋体" w:cs="宋体"/>
                <w:szCs w:val="21"/>
              </w:rPr>
              <w:t>（2）涉及海外工作经验，由申请人原工作过的单位出具相关的工作经历证明，需申请人原工作单位加盖公章或负责人签字，并留有证明联系人有效联系电话或电子邮件。</w:t>
            </w:r>
          </w:p>
          <w:p>
            <w:pPr>
              <w:snapToGrid w:val="0"/>
              <w:spacing w:line="260" w:lineRule="exact"/>
              <w:rPr>
                <w:rFonts w:ascii="宋体" w:hAnsi="宋体" w:eastAsia="宋体" w:cs="宋体"/>
                <w:szCs w:val="21"/>
              </w:rPr>
            </w:pPr>
            <w:r>
              <w:rPr>
                <w:rFonts w:hint="eastAsia" w:ascii="宋体" w:hAnsi="宋体" w:eastAsia="宋体" w:cs="宋体"/>
                <w:szCs w:val="21"/>
              </w:rPr>
              <w:t>2、同时提供相关人员开标日当月（或前一个月）在本单位缴纳且载有社保部门（或税务部门）公章（或业务章）的社保缴交证明材料（如开标日当月或前一个月的社保材料因社保部门（或税务部门）原因暂时无法取得，则可以往前顺延一个月）；成立时间不满1个月的投标人需提供成立时间相关说明材料，并提供承诺函（格式自拟）承诺人员为投标人现有员工。</w:t>
            </w:r>
          </w:p>
          <w:p>
            <w:pPr>
              <w:snapToGrid w:val="0"/>
              <w:spacing w:line="260" w:lineRule="exact"/>
              <w:rPr>
                <w:rFonts w:ascii="宋体" w:hAnsi="宋体" w:eastAsia="宋体" w:cs="宋体"/>
                <w:szCs w:val="21"/>
              </w:rPr>
            </w:pPr>
            <w:r>
              <w:rPr>
                <w:rFonts w:hint="eastAsia" w:ascii="宋体" w:hAnsi="宋体" w:eastAsia="宋体" w:cs="宋体"/>
                <w:szCs w:val="21"/>
              </w:rPr>
              <w:t>3、若证明文件为其它语言，必须附中文译文，以中文译文为准。</w:t>
            </w:r>
          </w:p>
          <w:p>
            <w:pPr>
              <w:snapToGrid w:val="0"/>
              <w:spacing w:line="260" w:lineRule="exact"/>
              <w:rPr>
                <w:rFonts w:ascii="宋体" w:hAnsi="宋体" w:eastAsia="宋体" w:cs="宋体"/>
                <w:szCs w:val="21"/>
              </w:rPr>
            </w:pPr>
            <w:r>
              <w:rPr>
                <w:rFonts w:hint="eastAsia" w:ascii="宋体" w:hAnsi="宋体" w:eastAsia="宋体" w:cs="宋体"/>
                <w:szCs w:val="21"/>
              </w:rPr>
              <w:t>4、未按要求提供相关证明材料（或相关证明材料无法判断是否符合评分要求）的不计得分，原件备查。</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CellMar>
            <w:top w:w="20" w:type="dxa"/>
            <w:left w:w="108" w:type="dxa"/>
            <w:bottom w:w="20" w:type="dxa"/>
            <w:right w:w="108" w:type="dxa"/>
          </w:tblCellMar>
        </w:tblPrEx>
        <w:trPr>
          <w:jc w:val="center"/>
        </w:trPr>
        <w:tc>
          <w:tcPr>
            <w:tcW w:w="714" w:type="dxa"/>
            <w:vMerge w:val="continue"/>
            <w:tcBorders>
              <w:top w:val="single" w:color="000000" w:sz="8" w:space="0"/>
              <w:left w:val="single" w:color="000000" w:sz="8" w:space="0"/>
              <w:bottom w:val="single" w:color="000000" w:sz="8" w:space="0"/>
              <w:right w:val="single" w:color="000000" w:sz="8" w:space="0"/>
            </w:tcBorders>
            <w:shd w:val="clear" w:color="auto" w:fill="FFFFFF"/>
          </w:tcPr>
          <w:p>
            <w:pPr>
              <w:rPr>
                <w:rFonts w:ascii="Times New Roman" w:hAnsi="Times New Roman" w:eastAsia="宋体" w:cs="Times New Roman"/>
              </w:rPr>
            </w:pPr>
          </w:p>
        </w:tc>
        <w:tc>
          <w:tcPr>
            <w:tcW w:w="646"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spacing w:line="260" w:lineRule="exact"/>
              <w:jc w:val="center"/>
              <w:rPr>
                <w:rFonts w:ascii="宋体" w:hAnsi="宋体" w:eastAsia="宋体" w:cs="宋体"/>
                <w:szCs w:val="21"/>
              </w:rPr>
            </w:pPr>
            <w:r>
              <w:rPr>
                <w:rFonts w:hint="eastAsia" w:ascii="宋体" w:hAnsi="宋体" w:eastAsia="宋体" w:cs="宋体"/>
                <w:szCs w:val="21"/>
              </w:rPr>
              <w:t>5</w:t>
            </w:r>
          </w:p>
        </w:tc>
        <w:tc>
          <w:tcPr>
            <w:tcW w:w="17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spacing w:line="260" w:lineRule="exact"/>
              <w:jc w:val="center"/>
              <w:rPr>
                <w:rFonts w:ascii="宋体" w:hAnsi="宋体" w:eastAsia="宋体" w:cs="宋体"/>
                <w:szCs w:val="21"/>
              </w:rPr>
            </w:pPr>
            <w:r>
              <w:rPr>
                <w:rFonts w:hint="eastAsia" w:ascii="宋体" w:hAnsi="宋体" w:eastAsia="宋体" w:cs="宋体"/>
                <w:szCs w:val="21"/>
              </w:rPr>
              <w:t>项目团队拟派中方服务人员（不含项目负责人）</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spacing w:line="260" w:lineRule="exact"/>
              <w:jc w:val="center"/>
              <w:rPr>
                <w:rFonts w:ascii="宋体" w:hAnsi="宋体" w:eastAsia="宋体" w:cs="宋体"/>
                <w:szCs w:val="21"/>
              </w:rPr>
            </w:pPr>
            <w:r>
              <w:rPr>
                <w:rFonts w:hint="eastAsia" w:ascii="宋体" w:hAnsi="宋体" w:eastAsia="宋体" w:cs="宋体"/>
                <w:szCs w:val="21"/>
              </w:rPr>
              <w:t>10</w:t>
            </w:r>
          </w:p>
        </w:tc>
        <w:tc>
          <w:tcPr>
            <w:tcW w:w="4961" w:type="dxa"/>
            <w:tcBorders>
              <w:top w:val="single" w:color="000000" w:sz="8" w:space="0"/>
              <w:left w:val="single" w:color="000000" w:sz="8" w:space="0"/>
              <w:bottom w:val="single" w:color="000000" w:sz="8" w:space="0"/>
              <w:right w:val="single" w:color="000000" w:sz="8" w:space="0"/>
            </w:tcBorders>
            <w:shd w:val="clear" w:color="auto" w:fill="FFFFFF"/>
          </w:tcPr>
          <w:p>
            <w:pPr>
              <w:snapToGrid w:val="0"/>
              <w:spacing w:line="260" w:lineRule="exact"/>
              <w:rPr>
                <w:rFonts w:ascii="宋体" w:hAnsi="宋体" w:eastAsia="宋体" w:cs="宋体"/>
                <w:szCs w:val="21"/>
              </w:rPr>
            </w:pPr>
            <w:r>
              <w:rPr>
                <w:rFonts w:hint="eastAsia" w:ascii="宋体" w:hAnsi="宋体" w:eastAsia="宋体" w:cs="宋体"/>
                <w:szCs w:val="21"/>
              </w:rPr>
              <w:t>（一）评分内容</w:t>
            </w:r>
          </w:p>
          <w:p>
            <w:pPr>
              <w:snapToGrid w:val="0"/>
              <w:spacing w:line="260" w:lineRule="exact"/>
              <w:rPr>
                <w:rFonts w:ascii="宋体" w:hAnsi="宋体" w:eastAsia="宋体" w:cs="宋体"/>
                <w:szCs w:val="21"/>
              </w:rPr>
            </w:pPr>
            <w:r>
              <w:rPr>
                <w:rFonts w:hint="eastAsia" w:ascii="宋体" w:hAnsi="宋体" w:eastAsia="宋体" w:cs="宋体"/>
                <w:szCs w:val="21"/>
              </w:rPr>
              <w:t>对投标人拟派项目团队拟派中方服务人员情况（不含项目负责人）进行评分。</w:t>
            </w:r>
          </w:p>
          <w:p>
            <w:pPr>
              <w:snapToGrid w:val="0"/>
              <w:spacing w:line="260" w:lineRule="exact"/>
              <w:rPr>
                <w:rFonts w:ascii="宋体" w:hAnsi="宋体" w:eastAsia="宋体" w:cs="宋体"/>
                <w:szCs w:val="21"/>
              </w:rPr>
            </w:pPr>
            <w:r>
              <w:rPr>
                <w:rFonts w:hint="eastAsia" w:ascii="宋体" w:hAnsi="宋体" w:eastAsia="宋体" w:cs="宋体"/>
                <w:szCs w:val="21"/>
              </w:rPr>
              <w:t>（1）具有本科或以上学历的，每提供1人得25分，最高得50分；</w:t>
            </w:r>
          </w:p>
          <w:p>
            <w:pPr>
              <w:snapToGrid w:val="0"/>
              <w:spacing w:line="260" w:lineRule="exact"/>
              <w:rPr>
                <w:rFonts w:ascii="宋体" w:hAnsi="宋体" w:eastAsia="宋体" w:cs="宋体"/>
                <w:szCs w:val="21"/>
              </w:rPr>
            </w:pPr>
            <w:r>
              <w:rPr>
                <w:rFonts w:hint="eastAsia" w:ascii="宋体" w:hAnsi="宋体" w:eastAsia="宋体" w:cs="宋体"/>
                <w:szCs w:val="21"/>
              </w:rPr>
              <w:t>（2）外语类专业毕业，每提供1人得25分，最高得50分。</w:t>
            </w:r>
          </w:p>
          <w:p>
            <w:pPr>
              <w:snapToGrid w:val="0"/>
              <w:spacing w:line="260" w:lineRule="exact"/>
              <w:rPr>
                <w:rFonts w:ascii="宋体" w:hAnsi="宋体" w:eastAsia="宋体" w:cs="宋体"/>
                <w:szCs w:val="21"/>
              </w:rPr>
            </w:pPr>
            <w:r>
              <w:rPr>
                <w:rFonts w:hint="eastAsia" w:ascii="宋体" w:hAnsi="宋体" w:eastAsia="宋体" w:cs="宋体"/>
                <w:szCs w:val="21"/>
              </w:rPr>
              <w:t>以上合计最高得100分。</w:t>
            </w:r>
          </w:p>
          <w:p>
            <w:pPr>
              <w:snapToGrid w:val="0"/>
              <w:spacing w:line="260" w:lineRule="exact"/>
              <w:rPr>
                <w:rFonts w:ascii="宋体" w:hAnsi="宋体" w:eastAsia="宋体" w:cs="宋体"/>
                <w:szCs w:val="21"/>
              </w:rPr>
            </w:pPr>
            <w:r>
              <w:rPr>
                <w:rFonts w:hint="eastAsia" w:ascii="宋体" w:hAnsi="宋体" w:eastAsia="宋体" w:cs="宋体"/>
                <w:szCs w:val="21"/>
              </w:rPr>
              <w:t>（二）评分标准</w:t>
            </w:r>
          </w:p>
          <w:p>
            <w:pPr>
              <w:snapToGrid w:val="0"/>
              <w:spacing w:line="260" w:lineRule="exact"/>
              <w:rPr>
                <w:rFonts w:ascii="宋体" w:hAnsi="宋体" w:eastAsia="宋体" w:cs="宋体"/>
                <w:szCs w:val="21"/>
              </w:rPr>
            </w:pPr>
            <w:r>
              <w:rPr>
                <w:rFonts w:hint="eastAsia" w:ascii="宋体" w:hAnsi="宋体" w:eastAsia="宋体" w:cs="宋体"/>
                <w:szCs w:val="21"/>
              </w:rPr>
              <w:t>1、提供相关证明文件扫描件，原件备查；</w:t>
            </w:r>
          </w:p>
          <w:p>
            <w:pPr>
              <w:snapToGrid w:val="0"/>
              <w:spacing w:line="260" w:lineRule="exact"/>
              <w:rPr>
                <w:rFonts w:ascii="宋体" w:hAnsi="宋体" w:eastAsia="宋体" w:cs="宋体"/>
                <w:szCs w:val="21"/>
              </w:rPr>
            </w:pPr>
            <w:r>
              <w:rPr>
                <w:rFonts w:hint="eastAsia" w:ascii="宋体" w:hAnsi="宋体" w:eastAsia="宋体" w:cs="宋体"/>
                <w:szCs w:val="21"/>
              </w:rPr>
              <w:t>涉及学历或专业，需提供学位（学历）证书：①学位（学历）证书在中国境内获得的，提供有效学历证书扫描件及学信网查询记录截图（如较早颁发的学历证书，学信网无法查询的，可提供毕业院校或教育或人社部门等颁发机构或监管机构等出具的证明）；②如海外留学（含港澳台）学历无法通过学信网站查询的，应当提供教育部留学服务中心出具的国外学历学位认证证书以及教育部留学服务中心官网查询截图；或者经中国驻外使、领馆或者获得学历所在国驻华使、领馆认证。</w:t>
            </w:r>
          </w:p>
          <w:p>
            <w:pPr>
              <w:snapToGrid w:val="0"/>
              <w:spacing w:line="260" w:lineRule="exact"/>
              <w:rPr>
                <w:rFonts w:ascii="宋体" w:hAnsi="宋体" w:eastAsia="宋体" w:cs="宋体"/>
                <w:szCs w:val="21"/>
              </w:rPr>
            </w:pPr>
            <w:r>
              <w:rPr>
                <w:rFonts w:hint="eastAsia" w:ascii="宋体" w:hAnsi="宋体" w:eastAsia="宋体" w:cs="宋体"/>
                <w:szCs w:val="21"/>
              </w:rPr>
              <w:t xml:space="preserve">2、同时提供相关人员开标日当月（或前一个月）在本单位缴纳且载有社保部门（或税务部门）公章（或税务部门公章）的社保缴交证明材料（如开标日当月（或前一个月）的社保材料因社保部门（或税务部门）原因暂时无法取得，则可以往前顺延一个月）；成立时间不满1个月的投标人需提供成立时间相关说明材料，并提供承诺函（格式自拟）承诺人员为投标人自有员工。 </w:t>
            </w:r>
          </w:p>
          <w:p>
            <w:pPr>
              <w:snapToGrid w:val="0"/>
              <w:spacing w:line="260" w:lineRule="exact"/>
              <w:rPr>
                <w:rFonts w:ascii="宋体" w:hAnsi="宋体" w:eastAsia="宋体" w:cs="宋体"/>
                <w:szCs w:val="21"/>
              </w:rPr>
            </w:pPr>
            <w:r>
              <w:rPr>
                <w:rFonts w:hint="eastAsia" w:ascii="宋体" w:hAnsi="宋体" w:eastAsia="宋体" w:cs="宋体"/>
                <w:szCs w:val="21"/>
              </w:rPr>
              <w:t>3、若证明文件为其它语言，必须附中文译文，以中文译文为准。</w:t>
            </w:r>
          </w:p>
          <w:p>
            <w:pPr>
              <w:snapToGrid w:val="0"/>
              <w:spacing w:line="260" w:lineRule="exact"/>
              <w:rPr>
                <w:rFonts w:ascii="宋体" w:hAnsi="宋体" w:eastAsia="宋体" w:cs="宋体"/>
                <w:szCs w:val="21"/>
              </w:rPr>
            </w:pPr>
            <w:r>
              <w:rPr>
                <w:rFonts w:hint="eastAsia" w:ascii="宋体" w:hAnsi="宋体" w:eastAsia="宋体" w:cs="宋体"/>
                <w:szCs w:val="21"/>
              </w:rPr>
              <w:t>4、未按要求提供相关证明材料（或相关证明材料无法判断是否符合评分要求）的不计得分，原件备查。</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CellMar>
            <w:top w:w="20" w:type="dxa"/>
            <w:left w:w="108" w:type="dxa"/>
            <w:bottom w:w="20" w:type="dxa"/>
            <w:right w:w="108" w:type="dxa"/>
          </w:tblCellMar>
        </w:tblPrEx>
        <w:trPr>
          <w:jc w:val="center"/>
        </w:trPr>
        <w:tc>
          <w:tcPr>
            <w:tcW w:w="714" w:type="dxa"/>
            <w:vMerge w:val="restart"/>
            <w:tcBorders>
              <w:top w:val="single" w:color="000000" w:sz="8" w:space="0"/>
              <w:left w:val="single" w:color="000000" w:sz="8" w:space="0"/>
              <w:bottom w:val="single" w:color="000000" w:sz="8" w:space="0"/>
              <w:right w:val="single" w:color="000000" w:sz="8" w:space="0"/>
            </w:tcBorders>
            <w:shd w:val="clear" w:color="auto" w:fill="FFFFFF"/>
          </w:tcPr>
          <w:p>
            <w:pPr>
              <w:snapToGrid w:val="0"/>
              <w:spacing w:line="260" w:lineRule="exact"/>
              <w:jc w:val="center"/>
              <w:rPr>
                <w:rFonts w:ascii="宋体" w:hAnsi="宋体" w:eastAsia="宋体" w:cs="宋体"/>
                <w:b/>
                <w:bCs/>
                <w:szCs w:val="21"/>
              </w:rPr>
            </w:pPr>
            <w:r>
              <w:rPr>
                <w:rFonts w:hint="eastAsia" w:ascii="宋体" w:hAnsi="宋体" w:eastAsia="宋体" w:cs="宋体"/>
                <w:b/>
                <w:bCs/>
                <w:szCs w:val="21"/>
              </w:rPr>
              <w:t>3</w:t>
            </w:r>
          </w:p>
        </w:tc>
        <w:tc>
          <w:tcPr>
            <w:tcW w:w="3397" w:type="dxa"/>
            <w:gridSpan w:val="3"/>
            <w:tcBorders>
              <w:top w:val="single" w:color="000000" w:sz="8" w:space="0"/>
              <w:left w:val="single" w:color="000000" w:sz="8" w:space="0"/>
              <w:bottom w:val="single" w:color="000000" w:sz="8" w:space="0"/>
              <w:right w:val="single" w:color="000000" w:sz="8" w:space="0"/>
            </w:tcBorders>
            <w:shd w:val="clear" w:color="auto" w:fill="FFFFFF"/>
          </w:tcPr>
          <w:p>
            <w:pPr>
              <w:snapToGrid w:val="0"/>
              <w:spacing w:line="260" w:lineRule="exact"/>
              <w:jc w:val="center"/>
              <w:rPr>
                <w:rFonts w:ascii="宋体" w:hAnsi="宋体" w:eastAsia="宋体" w:cs="宋体"/>
                <w:b/>
                <w:bCs/>
                <w:szCs w:val="21"/>
              </w:rPr>
            </w:pPr>
            <w:r>
              <w:rPr>
                <w:rFonts w:hint="eastAsia" w:ascii="宋体" w:hAnsi="宋体" w:eastAsia="宋体" w:cs="宋体"/>
                <w:b/>
                <w:bCs/>
                <w:szCs w:val="21"/>
              </w:rPr>
              <w:t>商务部分</w:t>
            </w:r>
          </w:p>
        </w:tc>
        <w:tc>
          <w:tcPr>
            <w:tcW w:w="4961" w:type="dxa"/>
            <w:tcBorders>
              <w:top w:val="single" w:color="000000" w:sz="8" w:space="0"/>
              <w:left w:val="single" w:color="000000" w:sz="8" w:space="0"/>
              <w:bottom w:val="single" w:color="000000" w:sz="8" w:space="0"/>
              <w:right w:val="single" w:color="000000" w:sz="8" w:space="0"/>
            </w:tcBorders>
            <w:shd w:val="clear" w:color="auto" w:fill="FFFFFF"/>
          </w:tcPr>
          <w:p>
            <w:pPr>
              <w:snapToGrid w:val="0"/>
              <w:spacing w:line="260" w:lineRule="exact"/>
              <w:jc w:val="center"/>
              <w:rPr>
                <w:rFonts w:ascii="宋体" w:hAnsi="宋体" w:eastAsia="宋体" w:cs="宋体"/>
                <w:b/>
                <w:bCs/>
                <w:szCs w:val="21"/>
              </w:rPr>
            </w:pPr>
            <w:r>
              <w:rPr>
                <w:rFonts w:hint="eastAsia" w:ascii="宋体" w:hAnsi="宋体" w:eastAsia="宋体" w:cs="宋体"/>
                <w:b/>
                <w:bCs/>
                <w:szCs w:val="21"/>
              </w:rPr>
              <w:t>30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CellMar>
            <w:top w:w="20" w:type="dxa"/>
            <w:left w:w="108" w:type="dxa"/>
            <w:bottom w:w="20" w:type="dxa"/>
            <w:right w:w="108" w:type="dxa"/>
          </w:tblCellMar>
        </w:tblPrEx>
        <w:trPr>
          <w:jc w:val="center"/>
        </w:trPr>
        <w:tc>
          <w:tcPr>
            <w:tcW w:w="714" w:type="dxa"/>
            <w:vMerge w:val="continue"/>
            <w:tcBorders>
              <w:top w:val="single" w:color="000000" w:sz="8" w:space="0"/>
              <w:left w:val="single" w:color="000000" w:sz="8" w:space="0"/>
              <w:bottom w:val="single" w:color="000000" w:sz="8" w:space="0"/>
              <w:right w:val="single" w:color="000000" w:sz="8" w:space="0"/>
            </w:tcBorders>
            <w:shd w:val="clear" w:color="auto" w:fill="FFFFFF"/>
          </w:tcPr>
          <w:p>
            <w:pPr>
              <w:rPr>
                <w:rFonts w:ascii="Times New Roman" w:hAnsi="Times New Roman" w:eastAsia="宋体" w:cs="Times New Roman"/>
              </w:rPr>
            </w:pPr>
          </w:p>
        </w:tc>
        <w:tc>
          <w:tcPr>
            <w:tcW w:w="646" w:type="dxa"/>
            <w:tcBorders>
              <w:top w:val="inset" w:color="000000" w:sz="6" w:space="0"/>
              <w:left w:val="inset" w:color="000000" w:sz="6" w:space="0"/>
              <w:bottom w:val="inset" w:color="000000" w:sz="6" w:space="0"/>
              <w:right w:val="inset" w:color="000000" w:sz="6" w:space="0"/>
            </w:tcBorders>
            <w:shd w:val="clear" w:color="auto" w:fill="FFFFFF"/>
            <w:vAlign w:val="center"/>
          </w:tcPr>
          <w:p>
            <w:pPr>
              <w:snapToGrid w:val="0"/>
              <w:spacing w:line="260" w:lineRule="exact"/>
              <w:jc w:val="center"/>
              <w:rPr>
                <w:rFonts w:ascii="宋体" w:hAnsi="宋体" w:eastAsia="宋体" w:cs="宋体"/>
                <w:szCs w:val="21"/>
              </w:rPr>
            </w:pPr>
            <w:r>
              <w:rPr>
                <w:rFonts w:hint="eastAsia" w:ascii="宋体" w:hAnsi="宋体" w:eastAsia="宋体" w:cs="宋体"/>
                <w:szCs w:val="21"/>
              </w:rPr>
              <w:t>序号</w:t>
            </w:r>
          </w:p>
        </w:tc>
        <w:tc>
          <w:tcPr>
            <w:tcW w:w="1759" w:type="dxa"/>
            <w:tcBorders>
              <w:top w:val="inset" w:color="000000" w:sz="6" w:space="0"/>
              <w:left w:val="inset" w:color="000000" w:sz="6" w:space="0"/>
              <w:bottom w:val="inset" w:color="000000" w:sz="6" w:space="0"/>
              <w:right w:val="inset" w:color="000000" w:sz="6" w:space="0"/>
            </w:tcBorders>
            <w:shd w:val="clear" w:color="auto" w:fill="FFFFFF"/>
            <w:vAlign w:val="center"/>
          </w:tcPr>
          <w:p>
            <w:pPr>
              <w:snapToGrid w:val="0"/>
              <w:spacing w:line="260" w:lineRule="exact"/>
              <w:jc w:val="center"/>
              <w:rPr>
                <w:rFonts w:ascii="宋体" w:hAnsi="宋体" w:eastAsia="宋体" w:cs="宋体"/>
                <w:szCs w:val="21"/>
              </w:rPr>
            </w:pPr>
            <w:r>
              <w:rPr>
                <w:rFonts w:hint="eastAsia" w:ascii="宋体" w:hAnsi="宋体" w:eastAsia="宋体" w:cs="宋体"/>
                <w:szCs w:val="21"/>
              </w:rPr>
              <w:t>评分因素</w:t>
            </w:r>
          </w:p>
        </w:tc>
        <w:tc>
          <w:tcPr>
            <w:tcW w:w="992" w:type="dxa"/>
            <w:tcBorders>
              <w:top w:val="inset" w:color="000000" w:sz="6" w:space="0"/>
              <w:left w:val="inset" w:color="000000" w:sz="6" w:space="0"/>
              <w:bottom w:val="inset" w:color="000000" w:sz="6" w:space="0"/>
              <w:right w:val="inset" w:color="000000" w:sz="6" w:space="0"/>
            </w:tcBorders>
            <w:shd w:val="clear" w:color="auto" w:fill="FFFFFF"/>
            <w:vAlign w:val="center"/>
          </w:tcPr>
          <w:p>
            <w:pPr>
              <w:snapToGrid w:val="0"/>
              <w:spacing w:line="260" w:lineRule="exact"/>
              <w:jc w:val="center"/>
              <w:rPr>
                <w:rFonts w:ascii="宋体" w:hAnsi="宋体" w:eastAsia="宋体" w:cs="宋体"/>
                <w:szCs w:val="21"/>
              </w:rPr>
            </w:pPr>
            <w:r>
              <w:rPr>
                <w:rFonts w:hint="eastAsia" w:ascii="宋体" w:hAnsi="宋体" w:eastAsia="宋体" w:cs="宋体"/>
                <w:szCs w:val="21"/>
              </w:rPr>
              <w:t>权重（%）</w:t>
            </w:r>
          </w:p>
        </w:tc>
        <w:tc>
          <w:tcPr>
            <w:tcW w:w="4961" w:type="dxa"/>
            <w:tcBorders>
              <w:top w:val="inset" w:color="000000" w:sz="6" w:space="0"/>
              <w:left w:val="inset" w:color="000000" w:sz="6" w:space="0"/>
              <w:bottom w:val="inset" w:color="000000" w:sz="6" w:space="0"/>
              <w:right w:val="inset" w:color="000000" w:sz="6" w:space="0"/>
            </w:tcBorders>
            <w:shd w:val="clear" w:color="auto" w:fill="FFFFFF"/>
            <w:vAlign w:val="center"/>
          </w:tcPr>
          <w:p>
            <w:pPr>
              <w:snapToGrid w:val="0"/>
              <w:spacing w:line="260" w:lineRule="exact"/>
              <w:jc w:val="center"/>
              <w:rPr>
                <w:rFonts w:ascii="宋体" w:hAnsi="宋体" w:eastAsia="宋体" w:cs="宋体"/>
                <w:szCs w:val="21"/>
              </w:rPr>
            </w:pPr>
            <w:r>
              <w:rPr>
                <w:rFonts w:hint="eastAsia" w:ascii="宋体" w:hAnsi="宋体" w:eastAsia="宋体" w:cs="宋体"/>
                <w:szCs w:val="21"/>
              </w:rPr>
              <w:t>评分准则</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CellMar>
            <w:top w:w="20" w:type="dxa"/>
            <w:left w:w="108" w:type="dxa"/>
            <w:bottom w:w="20" w:type="dxa"/>
            <w:right w:w="108" w:type="dxa"/>
          </w:tblCellMar>
        </w:tblPrEx>
        <w:trPr>
          <w:jc w:val="center"/>
        </w:trPr>
        <w:tc>
          <w:tcPr>
            <w:tcW w:w="714" w:type="dxa"/>
            <w:vMerge w:val="continue"/>
            <w:tcBorders>
              <w:top w:val="single" w:color="000000" w:sz="8" w:space="0"/>
              <w:left w:val="single" w:color="000000" w:sz="8" w:space="0"/>
              <w:bottom w:val="single" w:color="000000" w:sz="8" w:space="0"/>
              <w:right w:val="single" w:color="000000" w:sz="8" w:space="0"/>
            </w:tcBorders>
            <w:shd w:val="clear" w:color="auto" w:fill="FFFFFF"/>
          </w:tcPr>
          <w:p>
            <w:pPr>
              <w:rPr>
                <w:rFonts w:ascii="Times New Roman" w:hAnsi="Times New Roman" w:eastAsia="宋体" w:cs="Times New Roman"/>
              </w:rPr>
            </w:pPr>
          </w:p>
        </w:tc>
        <w:tc>
          <w:tcPr>
            <w:tcW w:w="646"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spacing w:line="260" w:lineRule="exact"/>
              <w:jc w:val="center"/>
              <w:rPr>
                <w:rFonts w:ascii="宋体" w:hAnsi="宋体" w:eastAsia="宋体" w:cs="宋体"/>
                <w:szCs w:val="21"/>
              </w:rPr>
            </w:pPr>
            <w:r>
              <w:rPr>
                <w:rFonts w:hint="eastAsia" w:ascii="宋体" w:hAnsi="宋体" w:eastAsia="宋体" w:cs="宋体"/>
                <w:szCs w:val="21"/>
              </w:rPr>
              <w:t>1</w:t>
            </w:r>
          </w:p>
        </w:tc>
        <w:tc>
          <w:tcPr>
            <w:tcW w:w="17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spacing w:line="260" w:lineRule="exact"/>
              <w:jc w:val="center"/>
              <w:rPr>
                <w:rFonts w:ascii="宋体" w:hAnsi="宋体" w:eastAsia="宋体" w:cs="宋体"/>
                <w:szCs w:val="21"/>
              </w:rPr>
            </w:pPr>
            <w:r>
              <w:rPr>
                <w:rFonts w:hint="eastAsia" w:ascii="宋体" w:hAnsi="宋体" w:eastAsia="宋体" w:cs="宋体"/>
                <w:szCs w:val="21"/>
              </w:rPr>
              <w:t>同类业绩情况</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spacing w:line="260" w:lineRule="exact"/>
              <w:jc w:val="center"/>
              <w:rPr>
                <w:rFonts w:ascii="宋体" w:hAnsi="宋体" w:eastAsia="宋体" w:cs="宋体"/>
                <w:szCs w:val="21"/>
              </w:rPr>
            </w:pPr>
            <w:r>
              <w:rPr>
                <w:rFonts w:hint="eastAsia" w:ascii="宋体" w:hAnsi="宋体" w:eastAsia="宋体" w:cs="宋体"/>
                <w:szCs w:val="21"/>
              </w:rPr>
              <w:t>18</w:t>
            </w:r>
          </w:p>
        </w:tc>
        <w:tc>
          <w:tcPr>
            <w:tcW w:w="4961" w:type="dxa"/>
            <w:tcBorders>
              <w:top w:val="single" w:color="000000" w:sz="8" w:space="0"/>
              <w:left w:val="single" w:color="000000" w:sz="8" w:space="0"/>
              <w:bottom w:val="single" w:color="000000" w:sz="8" w:space="0"/>
              <w:right w:val="single" w:color="000000" w:sz="8" w:space="0"/>
            </w:tcBorders>
            <w:shd w:val="clear" w:color="auto" w:fill="FFFFFF"/>
          </w:tcPr>
          <w:p>
            <w:pPr>
              <w:snapToGrid w:val="0"/>
              <w:spacing w:line="260" w:lineRule="exact"/>
              <w:rPr>
                <w:rFonts w:ascii="宋体" w:hAnsi="宋体" w:eastAsia="宋体" w:cs="宋体"/>
                <w:szCs w:val="21"/>
              </w:rPr>
            </w:pPr>
            <w:r>
              <w:rPr>
                <w:rFonts w:hint="eastAsia" w:ascii="宋体" w:hAnsi="宋体" w:eastAsia="宋体" w:cs="宋体"/>
                <w:szCs w:val="21"/>
              </w:rPr>
              <w:t>（一）评分内容</w:t>
            </w:r>
          </w:p>
          <w:p>
            <w:pPr>
              <w:snapToGrid w:val="0"/>
              <w:spacing w:line="260" w:lineRule="exact"/>
              <w:rPr>
                <w:rFonts w:ascii="宋体" w:hAnsi="宋体" w:eastAsia="宋体" w:cs="宋体"/>
                <w:szCs w:val="21"/>
              </w:rPr>
            </w:pPr>
            <w:r>
              <w:rPr>
                <w:rFonts w:hint="eastAsia" w:ascii="宋体" w:hAnsi="宋体" w:eastAsia="宋体" w:cs="宋体"/>
                <w:szCs w:val="21"/>
              </w:rPr>
              <w:t>投标人自2021年1月1日至本项目投标截止之日止（以合同签订时间为准）具有同类外语课程服务项目的，每提供1个业绩合同得20分，最高得100分。续签合同业绩可以累计计算。</w:t>
            </w:r>
          </w:p>
          <w:p>
            <w:pPr>
              <w:snapToGrid w:val="0"/>
              <w:spacing w:line="260" w:lineRule="exact"/>
              <w:rPr>
                <w:rFonts w:ascii="宋体" w:hAnsi="宋体" w:eastAsia="宋体" w:cs="宋体"/>
                <w:szCs w:val="21"/>
              </w:rPr>
            </w:pPr>
            <w:r>
              <w:rPr>
                <w:rFonts w:hint="eastAsia" w:ascii="宋体" w:hAnsi="宋体" w:eastAsia="宋体" w:cs="宋体"/>
                <w:szCs w:val="21"/>
              </w:rPr>
              <w:t>（二）评分标准</w:t>
            </w:r>
          </w:p>
          <w:p>
            <w:pPr>
              <w:snapToGrid w:val="0"/>
              <w:spacing w:line="260" w:lineRule="exact"/>
              <w:rPr>
                <w:rFonts w:ascii="宋体" w:hAnsi="宋体" w:eastAsia="宋体" w:cs="宋体"/>
                <w:szCs w:val="21"/>
              </w:rPr>
            </w:pPr>
            <w:r>
              <w:rPr>
                <w:rFonts w:hint="eastAsia" w:ascii="宋体" w:hAnsi="宋体" w:eastAsia="宋体" w:cs="宋体"/>
                <w:szCs w:val="21"/>
              </w:rPr>
              <w:t>提供合同关键信息证明文件扫描件（需包含合同首页、体现项目采购内容页、签字盖章页）作为得分依据；未按要求提供相关证明材料（或相关证明材料无法判断是否符合评分要求）的不计得分，原件备查。</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CellMar>
            <w:top w:w="20" w:type="dxa"/>
            <w:left w:w="108" w:type="dxa"/>
            <w:bottom w:w="20" w:type="dxa"/>
            <w:right w:w="108" w:type="dxa"/>
          </w:tblCellMar>
        </w:tblPrEx>
        <w:trPr>
          <w:jc w:val="center"/>
        </w:trPr>
        <w:tc>
          <w:tcPr>
            <w:tcW w:w="714" w:type="dxa"/>
            <w:vMerge w:val="continue"/>
            <w:tcBorders>
              <w:top w:val="single" w:color="000000" w:sz="8" w:space="0"/>
              <w:left w:val="single" w:color="000000" w:sz="8" w:space="0"/>
              <w:bottom w:val="single" w:color="000000" w:sz="8" w:space="0"/>
              <w:right w:val="single" w:color="000000" w:sz="8" w:space="0"/>
            </w:tcBorders>
            <w:shd w:val="clear" w:color="auto" w:fill="FFFFFF"/>
          </w:tcPr>
          <w:p>
            <w:pPr>
              <w:rPr>
                <w:rFonts w:ascii="Times New Roman" w:hAnsi="Times New Roman" w:eastAsia="宋体" w:cs="Times New Roman"/>
              </w:rPr>
            </w:pPr>
          </w:p>
        </w:tc>
        <w:tc>
          <w:tcPr>
            <w:tcW w:w="646"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spacing w:line="260" w:lineRule="exact"/>
              <w:jc w:val="center"/>
              <w:rPr>
                <w:rFonts w:ascii="宋体" w:hAnsi="宋体" w:eastAsia="宋体" w:cs="宋体"/>
                <w:szCs w:val="21"/>
              </w:rPr>
            </w:pPr>
            <w:r>
              <w:rPr>
                <w:rFonts w:hint="eastAsia" w:ascii="宋体" w:hAnsi="宋体" w:eastAsia="宋体" w:cs="宋体"/>
                <w:szCs w:val="21"/>
              </w:rPr>
              <w:t>2</w:t>
            </w:r>
          </w:p>
        </w:tc>
        <w:tc>
          <w:tcPr>
            <w:tcW w:w="17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spacing w:line="260" w:lineRule="exact"/>
              <w:jc w:val="center"/>
              <w:rPr>
                <w:rFonts w:ascii="宋体" w:hAnsi="宋体" w:eastAsia="宋体" w:cs="宋体"/>
                <w:szCs w:val="21"/>
              </w:rPr>
            </w:pPr>
            <w:r>
              <w:rPr>
                <w:rFonts w:hint="eastAsia" w:ascii="宋体" w:hAnsi="宋体" w:eastAsia="宋体" w:cs="宋体"/>
                <w:szCs w:val="21"/>
              </w:rPr>
              <w:t>投标人实力</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spacing w:line="260" w:lineRule="exact"/>
              <w:jc w:val="center"/>
              <w:rPr>
                <w:rFonts w:ascii="宋体" w:hAnsi="宋体" w:eastAsia="宋体" w:cs="宋体"/>
                <w:szCs w:val="21"/>
              </w:rPr>
            </w:pPr>
            <w:r>
              <w:rPr>
                <w:rFonts w:hint="eastAsia" w:ascii="宋体" w:hAnsi="宋体" w:eastAsia="宋体" w:cs="宋体"/>
                <w:szCs w:val="21"/>
              </w:rPr>
              <w:t>12</w:t>
            </w:r>
          </w:p>
        </w:tc>
        <w:tc>
          <w:tcPr>
            <w:tcW w:w="4961" w:type="dxa"/>
            <w:tcBorders>
              <w:top w:val="single" w:color="000000" w:sz="8" w:space="0"/>
              <w:left w:val="single" w:color="000000" w:sz="8" w:space="0"/>
              <w:bottom w:val="single" w:color="000000" w:sz="8" w:space="0"/>
              <w:right w:val="single" w:color="000000" w:sz="8" w:space="0"/>
            </w:tcBorders>
            <w:shd w:val="clear" w:color="auto" w:fill="FFFFFF"/>
          </w:tcPr>
          <w:p>
            <w:pPr>
              <w:snapToGrid w:val="0"/>
              <w:spacing w:line="260" w:lineRule="exact"/>
              <w:rPr>
                <w:rFonts w:ascii="宋体" w:hAnsi="宋体" w:eastAsia="宋体" w:cs="宋体"/>
                <w:szCs w:val="21"/>
              </w:rPr>
            </w:pPr>
            <w:r>
              <w:rPr>
                <w:rFonts w:hint="eastAsia" w:ascii="宋体" w:hAnsi="宋体" w:eastAsia="宋体" w:cs="宋体"/>
                <w:szCs w:val="21"/>
              </w:rPr>
              <w:t>（一）评分内容</w:t>
            </w:r>
          </w:p>
          <w:p>
            <w:pPr>
              <w:snapToGrid w:val="0"/>
              <w:spacing w:line="260" w:lineRule="exact"/>
              <w:rPr>
                <w:rFonts w:ascii="宋体" w:hAnsi="宋体" w:eastAsia="宋体" w:cs="宋体"/>
                <w:szCs w:val="21"/>
              </w:rPr>
            </w:pPr>
            <w:r>
              <w:rPr>
                <w:rFonts w:hint="eastAsia" w:ascii="宋体" w:hAnsi="宋体" w:eastAsia="宋体" w:cs="宋体"/>
                <w:szCs w:val="21"/>
              </w:rPr>
              <w:t>投标人与德国学校或教育机构有合作关系，配合学校对接德国学校组织、策划国际交流活动。</w:t>
            </w:r>
          </w:p>
          <w:p>
            <w:pPr>
              <w:snapToGrid w:val="0"/>
              <w:spacing w:line="260" w:lineRule="exact"/>
              <w:rPr>
                <w:rFonts w:ascii="宋体" w:hAnsi="宋体" w:eastAsia="宋体" w:cs="宋体"/>
                <w:szCs w:val="21"/>
              </w:rPr>
            </w:pPr>
            <w:r>
              <w:rPr>
                <w:rFonts w:hint="eastAsia" w:ascii="宋体" w:hAnsi="宋体" w:eastAsia="宋体" w:cs="宋体"/>
                <w:szCs w:val="21"/>
              </w:rPr>
              <w:t>（二）评分标准</w:t>
            </w:r>
          </w:p>
          <w:p>
            <w:pPr>
              <w:snapToGrid w:val="0"/>
              <w:spacing w:line="260" w:lineRule="exact"/>
              <w:rPr>
                <w:rFonts w:ascii="宋体" w:hAnsi="宋体" w:eastAsia="宋体" w:cs="宋体"/>
                <w:szCs w:val="21"/>
              </w:rPr>
            </w:pPr>
            <w:r>
              <w:rPr>
                <w:rFonts w:hint="eastAsia" w:ascii="宋体" w:hAnsi="宋体" w:eastAsia="宋体" w:cs="宋体"/>
                <w:szCs w:val="21"/>
              </w:rPr>
              <w:t>提供相关证明文件扫描件（需包含合作单位的公章或负责人签字，并留有证明联系人有效联系电话或电子邮件），原件备查。</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CellMar>
            <w:top w:w="20" w:type="dxa"/>
            <w:left w:w="108" w:type="dxa"/>
            <w:bottom w:w="20" w:type="dxa"/>
            <w:right w:w="108" w:type="dxa"/>
          </w:tblCellMar>
        </w:tblPrEx>
        <w:trPr>
          <w:jc w:val="center"/>
        </w:trPr>
        <w:tc>
          <w:tcPr>
            <w:tcW w:w="714" w:type="dxa"/>
            <w:vMerge w:val="restart"/>
            <w:tcBorders>
              <w:top w:val="single" w:color="000000" w:sz="8" w:space="0"/>
              <w:left w:val="single" w:color="000000" w:sz="8" w:space="0"/>
              <w:bottom w:val="single" w:color="000000" w:sz="8" w:space="0"/>
              <w:right w:val="single" w:color="000000" w:sz="8" w:space="0"/>
            </w:tcBorders>
            <w:shd w:val="clear" w:color="auto" w:fill="FFFFFF"/>
          </w:tcPr>
          <w:p>
            <w:pPr>
              <w:snapToGrid w:val="0"/>
              <w:spacing w:line="260" w:lineRule="exact"/>
              <w:jc w:val="center"/>
              <w:rPr>
                <w:rFonts w:ascii="宋体" w:hAnsi="宋体" w:eastAsia="宋体" w:cs="宋体"/>
                <w:b/>
                <w:bCs/>
                <w:szCs w:val="21"/>
              </w:rPr>
            </w:pPr>
            <w:r>
              <w:rPr>
                <w:rFonts w:hint="eastAsia" w:ascii="宋体" w:hAnsi="宋体" w:eastAsia="宋体" w:cs="宋体"/>
                <w:b/>
                <w:bCs/>
                <w:szCs w:val="21"/>
              </w:rPr>
              <w:t>4</w:t>
            </w:r>
          </w:p>
        </w:tc>
        <w:tc>
          <w:tcPr>
            <w:tcW w:w="3397" w:type="dxa"/>
            <w:gridSpan w:val="3"/>
            <w:tcBorders>
              <w:top w:val="single" w:color="000000" w:sz="8" w:space="0"/>
              <w:left w:val="single" w:color="000000" w:sz="8" w:space="0"/>
              <w:bottom w:val="single" w:color="000000" w:sz="8" w:space="0"/>
              <w:right w:val="single" w:color="000000" w:sz="8" w:space="0"/>
            </w:tcBorders>
            <w:shd w:val="clear" w:color="auto" w:fill="FFFFFF"/>
          </w:tcPr>
          <w:p>
            <w:pPr>
              <w:snapToGrid w:val="0"/>
              <w:spacing w:line="260" w:lineRule="exact"/>
              <w:jc w:val="center"/>
              <w:rPr>
                <w:rFonts w:ascii="宋体" w:hAnsi="宋体" w:eastAsia="宋体" w:cs="宋体"/>
                <w:b/>
                <w:bCs/>
                <w:szCs w:val="21"/>
              </w:rPr>
            </w:pPr>
            <w:r>
              <w:rPr>
                <w:rFonts w:hint="eastAsia" w:ascii="宋体" w:hAnsi="宋体" w:eastAsia="宋体" w:cs="宋体"/>
                <w:b/>
                <w:bCs/>
                <w:szCs w:val="21"/>
              </w:rPr>
              <w:t>其他部分</w:t>
            </w:r>
          </w:p>
        </w:tc>
        <w:tc>
          <w:tcPr>
            <w:tcW w:w="4961" w:type="dxa"/>
            <w:tcBorders>
              <w:top w:val="single" w:color="000000" w:sz="8" w:space="0"/>
              <w:left w:val="single" w:color="000000" w:sz="8" w:space="0"/>
              <w:bottom w:val="single" w:color="000000" w:sz="8" w:space="0"/>
              <w:right w:val="single" w:color="000000" w:sz="8" w:space="0"/>
            </w:tcBorders>
            <w:shd w:val="clear" w:color="auto" w:fill="FFFFFF"/>
          </w:tcPr>
          <w:p>
            <w:pPr>
              <w:snapToGrid w:val="0"/>
              <w:spacing w:line="260" w:lineRule="exact"/>
              <w:jc w:val="center"/>
              <w:rPr>
                <w:rFonts w:ascii="宋体" w:hAnsi="宋体" w:eastAsia="宋体" w:cs="宋体"/>
                <w:b/>
                <w:bCs/>
                <w:szCs w:val="21"/>
              </w:rPr>
            </w:pPr>
            <w:r>
              <w:rPr>
                <w:rFonts w:hint="eastAsia" w:ascii="宋体" w:hAnsi="宋体" w:eastAsia="宋体" w:cs="宋体"/>
                <w:b/>
                <w:bCs/>
                <w:szCs w:val="21"/>
              </w:rPr>
              <w:t>5</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0" w:type="dxa"/>
            <w:left w:w="108" w:type="dxa"/>
            <w:bottom w:w="20" w:type="dxa"/>
            <w:right w:w="108" w:type="dxa"/>
          </w:tblCellMar>
        </w:tblPrEx>
        <w:trPr>
          <w:jc w:val="center"/>
        </w:trPr>
        <w:tc>
          <w:tcPr>
            <w:tcW w:w="714" w:type="dxa"/>
            <w:vMerge w:val="continue"/>
            <w:tcBorders>
              <w:top w:val="single" w:color="000000" w:sz="8" w:space="0"/>
              <w:left w:val="single" w:color="000000" w:sz="8" w:space="0"/>
              <w:bottom w:val="single" w:color="000000" w:sz="8" w:space="0"/>
              <w:right w:val="single" w:color="000000" w:sz="8" w:space="0"/>
            </w:tcBorders>
            <w:shd w:val="clear" w:color="auto" w:fill="FFFFFF"/>
          </w:tcPr>
          <w:p>
            <w:pPr>
              <w:rPr>
                <w:rFonts w:ascii="Times New Roman" w:hAnsi="Times New Roman" w:eastAsia="宋体" w:cs="Times New Roman"/>
              </w:rPr>
            </w:pPr>
          </w:p>
        </w:tc>
        <w:tc>
          <w:tcPr>
            <w:tcW w:w="646" w:type="dxa"/>
            <w:tcBorders>
              <w:top w:val="inset" w:color="000000" w:sz="6" w:space="0"/>
              <w:left w:val="inset" w:color="000000" w:sz="6" w:space="0"/>
              <w:bottom w:val="inset" w:color="000000" w:sz="6" w:space="0"/>
              <w:right w:val="inset" w:color="000000" w:sz="6" w:space="0"/>
            </w:tcBorders>
            <w:shd w:val="clear" w:color="auto" w:fill="FFFFFF"/>
            <w:vAlign w:val="center"/>
          </w:tcPr>
          <w:p>
            <w:pPr>
              <w:snapToGrid w:val="0"/>
              <w:spacing w:line="260" w:lineRule="exact"/>
              <w:jc w:val="center"/>
              <w:rPr>
                <w:rFonts w:ascii="宋体" w:hAnsi="宋体" w:eastAsia="宋体" w:cs="宋体"/>
                <w:szCs w:val="21"/>
              </w:rPr>
            </w:pPr>
            <w:r>
              <w:rPr>
                <w:rFonts w:hint="eastAsia" w:ascii="宋体" w:hAnsi="宋体" w:eastAsia="宋体" w:cs="宋体"/>
                <w:szCs w:val="21"/>
              </w:rPr>
              <w:t>序号</w:t>
            </w:r>
          </w:p>
        </w:tc>
        <w:tc>
          <w:tcPr>
            <w:tcW w:w="1759" w:type="dxa"/>
            <w:tcBorders>
              <w:top w:val="inset" w:color="000000" w:sz="6" w:space="0"/>
              <w:left w:val="inset" w:color="000000" w:sz="6" w:space="0"/>
              <w:bottom w:val="inset" w:color="000000" w:sz="6" w:space="0"/>
              <w:right w:val="inset" w:color="000000" w:sz="6" w:space="0"/>
            </w:tcBorders>
            <w:shd w:val="clear" w:color="auto" w:fill="FFFFFF"/>
            <w:vAlign w:val="center"/>
          </w:tcPr>
          <w:p>
            <w:pPr>
              <w:snapToGrid w:val="0"/>
              <w:spacing w:line="260" w:lineRule="exact"/>
              <w:jc w:val="center"/>
              <w:rPr>
                <w:rFonts w:ascii="宋体" w:hAnsi="宋体" w:eastAsia="宋体" w:cs="宋体"/>
                <w:szCs w:val="21"/>
              </w:rPr>
            </w:pPr>
            <w:r>
              <w:rPr>
                <w:rFonts w:hint="eastAsia" w:ascii="宋体" w:hAnsi="宋体" w:eastAsia="宋体" w:cs="宋体"/>
                <w:szCs w:val="21"/>
              </w:rPr>
              <w:t>评分因素</w:t>
            </w:r>
          </w:p>
        </w:tc>
        <w:tc>
          <w:tcPr>
            <w:tcW w:w="992" w:type="dxa"/>
            <w:tcBorders>
              <w:top w:val="inset" w:color="000000" w:sz="6" w:space="0"/>
              <w:left w:val="inset" w:color="000000" w:sz="6" w:space="0"/>
              <w:bottom w:val="inset" w:color="000000" w:sz="6" w:space="0"/>
              <w:right w:val="inset" w:color="000000" w:sz="6" w:space="0"/>
            </w:tcBorders>
            <w:shd w:val="clear" w:color="auto" w:fill="FFFFFF"/>
            <w:vAlign w:val="center"/>
          </w:tcPr>
          <w:p>
            <w:pPr>
              <w:snapToGrid w:val="0"/>
              <w:spacing w:line="260" w:lineRule="exact"/>
              <w:jc w:val="center"/>
              <w:rPr>
                <w:rFonts w:ascii="宋体" w:hAnsi="宋体" w:eastAsia="宋体" w:cs="宋体"/>
                <w:szCs w:val="21"/>
              </w:rPr>
            </w:pPr>
            <w:r>
              <w:rPr>
                <w:rFonts w:hint="eastAsia" w:ascii="宋体" w:hAnsi="宋体" w:eastAsia="宋体" w:cs="宋体"/>
                <w:szCs w:val="21"/>
              </w:rPr>
              <w:t>权重（%）</w:t>
            </w:r>
          </w:p>
        </w:tc>
        <w:tc>
          <w:tcPr>
            <w:tcW w:w="4961" w:type="dxa"/>
            <w:tcBorders>
              <w:top w:val="inset" w:color="000000" w:sz="6" w:space="0"/>
              <w:left w:val="inset" w:color="000000" w:sz="6" w:space="0"/>
              <w:bottom w:val="inset" w:color="000000" w:sz="6" w:space="0"/>
              <w:right w:val="inset" w:color="000000" w:sz="6" w:space="0"/>
            </w:tcBorders>
            <w:shd w:val="clear" w:color="auto" w:fill="FFFFFF"/>
            <w:vAlign w:val="center"/>
          </w:tcPr>
          <w:p>
            <w:pPr>
              <w:snapToGrid w:val="0"/>
              <w:spacing w:line="260" w:lineRule="exact"/>
              <w:jc w:val="center"/>
              <w:rPr>
                <w:rFonts w:ascii="宋体" w:hAnsi="宋体" w:eastAsia="宋体" w:cs="宋体"/>
                <w:szCs w:val="21"/>
              </w:rPr>
            </w:pPr>
            <w:r>
              <w:rPr>
                <w:rFonts w:hint="eastAsia" w:ascii="宋体" w:hAnsi="宋体" w:eastAsia="宋体" w:cs="宋体"/>
                <w:szCs w:val="21"/>
              </w:rPr>
              <w:t>评分准则</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0" w:type="dxa"/>
            <w:left w:w="108" w:type="dxa"/>
            <w:bottom w:w="20" w:type="dxa"/>
            <w:right w:w="108" w:type="dxa"/>
          </w:tblCellMar>
        </w:tblPrEx>
        <w:trPr>
          <w:jc w:val="center"/>
        </w:trPr>
        <w:tc>
          <w:tcPr>
            <w:tcW w:w="714" w:type="dxa"/>
            <w:vMerge w:val="continue"/>
            <w:tcBorders>
              <w:top w:val="single" w:color="000000" w:sz="8" w:space="0"/>
              <w:left w:val="single" w:color="000000" w:sz="8" w:space="0"/>
              <w:bottom w:val="single" w:color="000000" w:sz="8" w:space="0"/>
              <w:right w:val="single" w:color="000000" w:sz="8" w:space="0"/>
            </w:tcBorders>
            <w:shd w:val="clear" w:color="auto" w:fill="FFFFFF"/>
          </w:tcPr>
          <w:p>
            <w:pPr>
              <w:rPr>
                <w:rFonts w:ascii="Times New Roman" w:hAnsi="Times New Roman" w:eastAsia="宋体" w:cs="Times New Roman"/>
              </w:rPr>
            </w:pPr>
          </w:p>
        </w:tc>
        <w:tc>
          <w:tcPr>
            <w:tcW w:w="646"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spacing w:line="260" w:lineRule="exact"/>
              <w:jc w:val="center"/>
              <w:rPr>
                <w:rFonts w:ascii="宋体" w:hAnsi="宋体" w:eastAsia="宋体" w:cs="宋体"/>
                <w:szCs w:val="21"/>
              </w:rPr>
            </w:pPr>
            <w:r>
              <w:rPr>
                <w:rFonts w:hint="eastAsia" w:ascii="宋体" w:hAnsi="宋体" w:eastAsia="宋体" w:cs="宋体"/>
                <w:szCs w:val="21"/>
              </w:rPr>
              <w:t>1</w:t>
            </w:r>
          </w:p>
        </w:tc>
        <w:tc>
          <w:tcPr>
            <w:tcW w:w="17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spacing w:line="260" w:lineRule="exact"/>
              <w:jc w:val="center"/>
              <w:rPr>
                <w:rFonts w:ascii="宋体" w:hAnsi="宋体" w:eastAsia="宋体" w:cs="宋体"/>
                <w:szCs w:val="21"/>
              </w:rPr>
            </w:pPr>
            <w:r>
              <w:rPr>
                <w:rFonts w:hint="eastAsia" w:ascii="宋体" w:hAnsi="宋体" w:eastAsia="宋体" w:cs="宋体"/>
                <w:szCs w:val="21"/>
              </w:rPr>
              <w:t>诚信情况</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spacing w:line="260" w:lineRule="exact"/>
              <w:jc w:val="center"/>
              <w:rPr>
                <w:rFonts w:ascii="宋体" w:hAnsi="宋体" w:eastAsia="宋体" w:cs="宋体"/>
                <w:szCs w:val="21"/>
              </w:rPr>
            </w:pPr>
            <w:r>
              <w:rPr>
                <w:rFonts w:hint="eastAsia" w:ascii="宋体" w:hAnsi="宋体" w:eastAsia="宋体" w:cs="宋体"/>
                <w:szCs w:val="21"/>
              </w:rPr>
              <w:t>5</w:t>
            </w:r>
          </w:p>
        </w:tc>
        <w:tc>
          <w:tcPr>
            <w:tcW w:w="4961" w:type="dxa"/>
            <w:tcBorders>
              <w:top w:val="single" w:color="000000" w:sz="8" w:space="0"/>
              <w:left w:val="single" w:color="000000" w:sz="8" w:space="0"/>
              <w:bottom w:val="single" w:color="000000" w:sz="8" w:space="0"/>
              <w:right w:val="single" w:color="000000" w:sz="8" w:space="0"/>
            </w:tcBorders>
            <w:shd w:val="clear" w:color="auto" w:fill="FFFFFF"/>
          </w:tcPr>
          <w:p>
            <w:pPr>
              <w:snapToGrid w:val="0"/>
              <w:spacing w:line="260" w:lineRule="exact"/>
              <w:rPr>
                <w:rFonts w:ascii="宋体" w:hAnsi="宋体" w:eastAsia="宋体" w:cs="宋体"/>
                <w:szCs w:val="21"/>
              </w:rPr>
            </w:pPr>
            <w:r>
              <w:rPr>
                <w:rFonts w:hint="eastAsia" w:ascii="宋体" w:hAnsi="宋体" w:eastAsia="宋体" w:cs="宋体"/>
                <w:szCs w:val="21"/>
              </w:rPr>
              <w:t>投标人在参与政府采购活动中存在诚信相关问题且在主管部门相关处理措施实施期限内的，本项不得分，否则得满分。投标人无需提供任何证明材料，由政府集中采购机构工作人员查询后向评审委员会提供相关信息。</w:t>
            </w:r>
          </w:p>
        </w:tc>
      </w:tr>
    </w:tbl>
    <w:p>
      <w:pPr>
        <w:widowControl/>
        <w:jc w:val="left"/>
        <w:rPr>
          <w:b/>
          <w:sz w:val="84"/>
          <w:szCs w:val="84"/>
        </w:rPr>
      </w:pPr>
    </w:p>
    <w:p>
      <w:pPr>
        <w:jc w:val="center"/>
        <w:rPr>
          <w:b/>
          <w:sz w:val="84"/>
          <w:szCs w:val="84"/>
        </w:rPr>
      </w:pPr>
    </w:p>
    <w:p>
      <w:pPr>
        <w:jc w:val="center"/>
        <w:rPr>
          <w:b/>
          <w:sz w:val="84"/>
          <w:szCs w:val="84"/>
        </w:rPr>
      </w:pPr>
    </w:p>
    <w:p>
      <w:pPr>
        <w:jc w:val="center"/>
        <w:rPr>
          <w:b/>
          <w:sz w:val="84"/>
          <w:szCs w:val="84"/>
        </w:rPr>
      </w:pPr>
    </w:p>
    <w:p>
      <w:pPr>
        <w:jc w:val="center"/>
        <w:rPr>
          <w:b/>
          <w:sz w:val="120"/>
          <w:szCs w:val="120"/>
        </w:rPr>
      </w:pPr>
      <w:bookmarkStart w:id="1" w:name="_Hlk71465316"/>
    </w:p>
    <w:p>
      <w:pPr>
        <w:widowControl/>
        <w:jc w:val="left"/>
        <w:rPr>
          <w:b/>
          <w:sz w:val="120"/>
          <w:szCs w:val="120"/>
        </w:rPr>
      </w:pPr>
      <w:r>
        <w:rPr>
          <w:b/>
          <w:sz w:val="120"/>
          <w:szCs w:val="120"/>
        </w:rPr>
        <w:br w:type="page"/>
      </w:r>
    </w:p>
    <w:p>
      <w:pPr>
        <w:jc w:val="center"/>
        <w:rPr>
          <w:b/>
          <w:sz w:val="120"/>
          <w:szCs w:val="120"/>
        </w:rPr>
      </w:pPr>
    </w:p>
    <w:p>
      <w:pPr>
        <w:jc w:val="center"/>
        <w:rPr>
          <w:b/>
          <w:sz w:val="120"/>
          <w:szCs w:val="120"/>
        </w:rPr>
      </w:pPr>
      <w:r>
        <w:rPr>
          <w:rFonts w:hint="eastAsia"/>
          <w:b/>
          <w:sz w:val="120"/>
          <w:szCs w:val="120"/>
        </w:rPr>
        <w:t>政府采购</w:t>
      </w:r>
    </w:p>
    <w:p>
      <w:pPr>
        <w:jc w:val="center"/>
        <w:rPr>
          <w:b/>
          <w:sz w:val="120"/>
          <w:szCs w:val="120"/>
        </w:rPr>
      </w:pPr>
      <w:r>
        <w:rPr>
          <w:rFonts w:hint="eastAsia"/>
          <w:b/>
          <w:sz w:val="120"/>
          <w:szCs w:val="120"/>
        </w:rPr>
        <w:t>招标文件</w:t>
      </w:r>
    </w:p>
    <w:p>
      <w:pPr>
        <w:jc w:val="center"/>
        <w:rPr>
          <w:b/>
          <w:sz w:val="52"/>
          <w:szCs w:val="52"/>
        </w:rPr>
      </w:pPr>
      <w:r>
        <w:rPr>
          <w:rFonts w:hint="eastAsia"/>
          <w:b/>
          <w:sz w:val="52"/>
          <w:szCs w:val="52"/>
        </w:rPr>
        <w:t>（服务类）</w:t>
      </w:r>
    </w:p>
    <w:p/>
    <w:p/>
    <w:p/>
    <w:p/>
    <w:p/>
    <w:p/>
    <w:p/>
    <w:p/>
    <w:p/>
    <w:p/>
    <w:p/>
    <w:p/>
    <w:p>
      <w:pPr>
        <w:jc w:val="center"/>
        <w:rPr>
          <w:b/>
          <w:sz w:val="44"/>
          <w:szCs w:val="44"/>
        </w:rPr>
      </w:pPr>
      <w:r>
        <w:rPr>
          <w:rFonts w:hint="eastAsia" w:ascii="宋体" w:hAnsi="宋体"/>
          <w:b/>
          <w:sz w:val="44"/>
          <w:szCs w:val="44"/>
        </w:rPr>
        <w:t>深圳公共资源交易中心</w:t>
      </w:r>
    </w:p>
    <w:p>
      <w:pPr>
        <w:jc w:val="center"/>
        <w:rPr>
          <w:b/>
          <w:sz w:val="44"/>
          <w:szCs w:val="44"/>
        </w:rPr>
      </w:pPr>
      <w:r>
        <w:rPr>
          <w:rFonts w:hint="eastAsia" w:ascii="宋体" w:hAnsi="宋体"/>
          <w:b/>
          <w:sz w:val="44"/>
          <w:szCs w:val="44"/>
        </w:rPr>
        <w:t>（</w:t>
      </w:r>
      <w:r>
        <w:rPr>
          <w:b/>
          <w:sz w:val="44"/>
          <w:szCs w:val="44"/>
        </w:rPr>
        <w:t>20</w:t>
      </w:r>
      <w:r>
        <w:rPr>
          <w:rFonts w:hint="eastAsia"/>
          <w:b/>
          <w:sz w:val="44"/>
          <w:szCs w:val="44"/>
        </w:rPr>
        <w:t>24</w:t>
      </w:r>
      <w:r>
        <w:rPr>
          <w:rFonts w:hint="eastAsia" w:ascii="宋体" w:hAnsi="宋体"/>
          <w:b/>
          <w:sz w:val="44"/>
          <w:szCs w:val="44"/>
        </w:rPr>
        <w:t>）</w:t>
      </w:r>
    </w:p>
    <w:p>
      <w:pPr>
        <w:jc w:val="center"/>
        <w:rPr>
          <w:b/>
          <w:sz w:val="44"/>
          <w:szCs w:val="44"/>
        </w:rPr>
      </w:pPr>
    </w:p>
    <w:bookmarkEnd w:id="1"/>
    <w:p>
      <w:pPr>
        <w:jc w:val="center"/>
        <w:rPr>
          <w:b/>
          <w:color w:val="FF0000"/>
          <w:sz w:val="28"/>
          <w:szCs w:val="28"/>
        </w:rPr>
      </w:pPr>
      <w:r>
        <w:rPr>
          <w:rFonts w:hint="eastAsia"/>
          <w:b/>
          <w:color w:val="FF0000"/>
          <w:sz w:val="52"/>
          <w:szCs w:val="52"/>
        </w:rPr>
        <w:br w:type="page"/>
      </w:r>
    </w:p>
    <w:p>
      <w:pPr>
        <w:ind w:firstLine="3654" w:firstLineChars="1300"/>
        <w:outlineLvl w:val="0"/>
        <w:rPr>
          <w:rFonts w:ascii="宋体" w:hAnsi="宋体"/>
          <w:color w:val="FF0000"/>
          <w:szCs w:val="21"/>
        </w:rPr>
      </w:pPr>
      <w:bookmarkStart w:id="2" w:name="_Hlk73564573"/>
      <w:r>
        <w:rPr>
          <w:rFonts w:hint="eastAsia" w:ascii="宋体" w:hAnsi="宋体" w:eastAsia="黑体"/>
          <w:b/>
          <w:bCs/>
          <w:color w:val="FF0000"/>
          <w:kern w:val="44"/>
          <w:sz w:val="28"/>
          <w:szCs w:val="44"/>
        </w:rPr>
        <w:t>警示条款</w:t>
      </w:r>
    </w:p>
    <w:p>
      <w:pPr>
        <w:spacing w:line="360" w:lineRule="exact"/>
        <w:ind w:firstLine="422" w:firstLineChars="200"/>
        <w:rPr>
          <w:rFonts w:asciiTheme="minorEastAsia" w:hAnsiTheme="minorEastAsia" w:cstheme="minorEastAsia"/>
          <w:color w:val="FF0000"/>
          <w:szCs w:val="21"/>
        </w:rPr>
      </w:pPr>
      <w:r>
        <w:rPr>
          <w:rFonts w:hint="eastAsia" w:asciiTheme="minorEastAsia" w:hAnsiTheme="minorEastAsia" w:cstheme="minorEastAsia"/>
          <w:b/>
          <w:bCs/>
          <w:color w:val="FF0000"/>
          <w:szCs w:val="21"/>
        </w:rPr>
        <w:t>一、《深圳经济特区政府采购条例》第五十七条</w:t>
      </w:r>
    </w:p>
    <w:p>
      <w:pPr>
        <w:spacing w:line="360" w:lineRule="exact"/>
        <w:ind w:firstLine="420" w:firstLineChars="200"/>
        <w:rPr>
          <w:rFonts w:asciiTheme="minorEastAsia" w:hAnsiTheme="minorEastAsia" w:cstheme="minorEastAsia"/>
          <w:color w:val="FF0000"/>
          <w:szCs w:val="21"/>
        </w:rPr>
      </w:pPr>
      <w:r>
        <w:rPr>
          <w:rFonts w:hint="eastAsia" w:asciiTheme="minorEastAsia" w:hAnsiTheme="minorEastAsia" w:cstheme="minorEastAsia"/>
          <w:color w:val="FF0000"/>
          <w:szCs w:val="21"/>
        </w:rPr>
        <w:t>供应商在政府采购中，有下列行为之一的，一至三年内禁止其参与本市政府采购，并由主管部门记入供应商诚信档案，处以采购金额千分之十以上千分之二十以下的罚款；情节严重的，取消其参与本市政府采购资格，处以采购金额千分之二十以上千分之三十以下的罚款，并由市场监管部门依法吊销其营业执照；给他人造成损失的，依法承担赔偿责任；构成犯罪的，依法追究刑事责任：</w:t>
      </w:r>
    </w:p>
    <w:p>
      <w:pPr>
        <w:spacing w:line="360" w:lineRule="exact"/>
        <w:ind w:firstLine="420" w:firstLineChars="200"/>
        <w:rPr>
          <w:rFonts w:asciiTheme="minorEastAsia" w:hAnsiTheme="minorEastAsia" w:cstheme="minorEastAsia"/>
          <w:color w:val="FF0000"/>
          <w:szCs w:val="21"/>
        </w:rPr>
      </w:pPr>
      <w:r>
        <w:rPr>
          <w:rFonts w:hint="eastAsia" w:asciiTheme="minorEastAsia" w:hAnsiTheme="minorEastAsia" w:cstheme="minorEastAsia"/>
          <w:color w:val="FF0000"/>
          <w:szCs w:val="21"/>
        </w:rPr>
        <w:t>（一）在采购活动中应当回避而未回避的；</w:t>
      </w:r>
    </w:p>
    <w:p>
      <w:pPr>
        <w:spacing w:line="360" w:lineRule="exact"/>
        <w:ind w:firstLine="420" w:firstLineChars="200"/>
        <w:rPr>
          <w:rFonts w:asciiTheme="minorEastAsia" w:hAnsiTheme="minorEastAsia" w:cstheme="minorEastAsia"/>
          <w:color w:val="FF0000"/>
          <w:szCs w:val="21"/>
        </w:rPr>
      </w:pPr>
      <w:r>
        <w:rPr>
          <w:rFonts w:hint="eastAsia" w:asciiTheme="minorEastAsia" w:hAnsiTheme="minorEastAsia" w:cstheme="minorEastAsia"/>
          <w:color w:val="FF0000"/>
          <w:szCs w:val="21"/>
        </w:rPr>
        <w:t>（二）未按本条例规定签订、履行采购合同，造成严重后果的；</w:t>
      </w:r>
    </w:p>
    <w:p>
      <w:pPr>
        <w:spacing w:line="360" w:lineRule="exact"/>
        <w:ind w:firstLine="420" w:firstLineChars="200"/>
        <w:rPr>
          <w:rFonts w:asciiTheme="minorEastAsia" w:hAnsiTheme="minorEastAsia" w:cstheme="minorEastAsia"/>
          <w:color w:val="FF0000"/>
          <w:szCs w:val="21"/>
        </w:rPr>
      </w:pPr>
      <w:r>
        <w:rPr>
          <w:rFonts w:hint="eastAsia" w:asciiTheme="minorEastAsia" w:hAnsiTheme="minorEastAsia" w:cstheme="minorEastAsia"/>
          <w:color w:val="FF0000"/>
          <w:szCs w:val="21"/>
        </w:rPr>
        <w:t>（三）隐瞒真实情况，提供虚假资料的；</w:t>
      </w:r>
    </w:p>
    <w:p>
      <w:pPr>
        <w:spacing w:line="360" w:lineRule="exact"/>
        <w:ind w:firstLine="420" w:firstLineChars="200"/>
        <w:rPr>
          <w:rFonts w:asciiTheme="minorEastAsia" w:hAnsiTheme="minorEastAsia" w:cstheme="minorEastAsia"/>
          <w:color w:val="FF0000"/>
          <w:szCs w:val="21"/>
        </w:rPr>
      </w:pPr>
      <w:r>
        <w:rPr>
          <w:rFonts w:hint="eastAsia" w:asciiTheme="minorEastAsia" w:hAnsiTheme="minorEastAsia" w:cstheme="minorEastAsia"/>
          <w:color w:val="FF0000"/>
          <w:szCs w:val="21"/>
        </w:rPr>
        <w:t>（四）以非法手段排斥其他供应商参与竞争的；</w:t>
      </w:r>
    </w:p>
    <w:p>
      <w:pPr>
        <w:spacing w:line="360" w:lineRule="exact"/>
        <w:ind w:firstLine="420" w:firstLineChars="200"/>
        <w:rPr>
          <w:rFonts w:asciiTheme="minorEastAsia" w:hAnsiTheme="minorEastAsia" w:cstheme="minorEastAsia"/>
          <w:color w:val="FF0000"/>
          <w:szCs w:val="21"/>
        </w:rPr>
      </w:pPr>
      <w:r>
        <w:rPr>
          <w:rFonts w:hint="eastAsia" w:asciiTheme="minorEastAsia" w:hAnsiTheme="minorEastAsia" w:cstheme="minorEastAsia"/>
          <w:color w:val="FF0000"/>
          <w:szCs w:val="21"/>
        </w:rPr>
        <w:t>（五）与其他采购参加人串通投标的；</w:t>
      </w:r>
    </w:p>
    <w:p>
      <w:pPr>
        <w:spacing w:line="360" w:lineRule="exact"/>
        <w:ind w:firstLine="420" w:firstLineChars="200"/>
        <w:rPr>
          <w:rFonts w:asciiTheme="minorEastAsia" w:hAnsiTheme="minorEastAsia" w:cstheme="minorEastAsia"/>
          <w:color w:val="FF0000"/>
          <w:szCs w:val="21"/>
        </w:rPr>
      </w:pPr>
      <w:r>
        <w:rPr>
          <w:rFonts w:hint="eastAsia" w:asciiTheme="minorEastAsia" w:hAnsiTheme="minorEastAsia" w:cstheme="minorEastAsia"/>
          <w:color w:val="FF0000"/>
          <w:szCs w:val="21"/>
        </w:rPr>
        <w:t>（六）恶意投诉的；</w:t>
      </w:r>
    </w:p>
    <w:p>
      <w:pPr>
        <w:spacing w:line="360" w:lineRule="exact"/>
        <w:ind w:firstLine="420" w:firstLineChars="200"/>
        <w:rPr>
          <w:rFonts w:asciiTheme="minorEastAsia" w:hAnsiTheme="minorEastAsia" w:cstheme="minorEastAsia"/>
          <w:color w:val="FF0000"/>
          <w:szCs w:val="21"/>
        </w:rPr>
      </w:pPr>
      <w:r>
        <w:rPr>
          <w:rFonts w:hint="eastAsia" w:asciiTheme="minorEastAsia" w:hAnsiTheme="minorEastAsia" w:cstheme="minorEastAsia"/>
          <w:color w:val="FF0000"/>
          <w:szCs w:val="21"/>
        </w:rPr>
        <w:t>（七）向采购项目相关人行贿或者提供其他不当利益的；</w:t>
      </w:r>
    </w:p>
    <w:p>
      <w:pPr>
        <w:spacing w:line="360" w:lineRule="exact"/>
        <w:ind w:firstLine="420" w:firstLineChars="200"/>
        <w:rPr>
          <w:rFonts w:asciiTheme="minorEastAsia" w:hAnsiTheme="minorEastAsia" w:cstheme="minorEastAsia"/>
          <w:color w:val="FF0000"/>
          <w:szCs w:val="21"/>
        </w:rPr>
      </w:pPr>
      <w:r>
        <w:rPr>
          <w:rFonts w:hint="eastAsia" w:asciiTheme="minorEastAsia" w:hAnsiTheme="minorEastAsia" w:cstheme="minorEastAsia"/>
          <w:color w:val="FF0000"/>
          <w:szCs w:val="21"/>
        </w:rPr>
        <w:t>（八）阻碍、抗拒主管部门监督检查的；</w:t>
      </w:r>
    </w:p>
    <w:p>
      <w:pPr>
        <w:spacing w:line="360" w:lineRule="exact"/>
        <w:ind w:firstLine="420" w:firstLineChars="200"/>
        <w:rPr>
          <w:rFonts w:asciiTheme="minorEastAsia" w:hAnsiTheme="minorEastAsia" w:cstheme="minorEastAsia"/>
          <w:color w:val="FF0000"/>
          <w:szCs w:val="21"/>
        </w:rPr>
      </w:pPr>
      <w:r>
        <w:rPr>
          <w:rFonts w:hint="eastAsia" w:asciiTheme="minorEastAsia" w:hAnsiTheme="minorEastAsia" w:cstheme="minorEastAsia"/>
          <w:color w:val="FF0000"/>
          <w:szCs w:val="21"/>
        </w:rPr>
        <w:t>（九）其他违反本条例规定的行为。</w:t>
      </w:r>
    </w:p>
    <w:p>
      <w:pPr>
        <w:spacing w:line="360" w:lineRule="exact"/>
        <w:ind w:firstLine="422" w:firstLineChars="200"/>
        <w:rPr>
          <w:rFonts w:asciiTheme="minorEastAsia" w:hAnsiTheme="minorEastAsia" w:cstheme="minorEastAsia"/>
          <w:b/>
          <w:bCs/>
          <w:color w:val="FF0000"/>
          <w:szCs w:val="21"/>
        </w:rPr>
      </w:pPr>
      <w:r>
        <w:rPr>
          <w:rFonts w:hint="eastAsia" w:asciiTheme="minorEastAsia" w:hAnsiTheme="minorEastAsia" w:cstheme="minorEastAsia"/>
          <w:b/>
          <w:bCs/>
          <w:color w:val="FF0000"/>
          <w:szCs w:val="21"/>
        </w:rPr>
        <w:t>二、《深圳经济特区政府采购条例实施细则》第七十五条 </w:t>
      </w:r>
    </w:p>
    <w:p>
      <w:pPr>
        <w:spacing w:line="360" w:lineRule="exact"/>
        <w:ind w:firstLine="420" w:firstLineChars="200"/>
        <w:rPr>
          <w:rFonts w:asciiTheme="minorEastAsia" w:hAnsiTheme="minorEastAsia" w:cstheme="minorEastAsia"/>
          <w:color w:val="FF0000"/>
          <w:szCs w:val="21"/>
        </w:rPr>
      </w:pPr>
      <w:r>
        <w:rPr>
          <w:rFonts w:hint="eastAsia" w:asciiTheme="minorEastAsia" w:hAnsiTheme="minorEastAsia" w:cstheme="minorEastAsia"/>
          <w:color w:val="FF0000"/>
          <w:szCs w:val="21"/>
        </w:rPr>
        <w:t>供应商有下列情形的，属于采购条例所称的串通投标行为，按照采购条例第五十七条有关规定处理：（一）投标供应商之间相互约定给予未中标的供应商利益补偿；（二）不同投标供应商的法定代表人、主要经营负责人、项目投标授权代表人、项目负责人、主要技术人员为同一人、属同一单位或者在同一单位缴纳社会保险；（三）不同投标供应商的投标文件由同一单位或者同一人编制，或者由同一人分阶段参与编制的；（四）不同投标供应商的投标文件或部分投标文件相互混装；（五）不同投标供应商的投标文件内容存在非正常一致；（六）由同一单位工作人员为两家以上（含两家）供应商进行同一项投标活动的；（七）主管部门依照法律、法规认定的其他情形。</w:t>
      </w:r>
    </w:p>
    <w:p>
      <w:pPr>
        <w:spacing w:line="360" w:lineRule="exact"/>
        <w:ind w:firstLine="422" w:firstLineChars="200"/>
        <w:rPr>
          <w:rFonts w:asciiTheme="minorEastAsia" w:hAnsiTheme="minorEastAsia" w:cstheme="minorEastAsia"/>
          <w:b/>
          <w:bCs/>
          <w:color w:val="FF0000"/>
          <w:szCs w:val="21"/>
        </w:rPr>
      </w:pPr>
      <w:r>
        <w:rPr>
          <w:rFonts w:hint="eastAsia" w:asciiTheme="minorEastAsia" w:hAnsiTheme="minorEastAsia" w:cstheme="minorEastAsia"/>
          <w:b/>
          <w:bCs/>
          <w:color w:val="FF0000"/>
          <w:szCs w:val="21"/>
        </w:rPr>
        <w:t>三、《深圳经济特区政府采购条例实施细则》第七十七条 </w:t>
      </w:r>
    </w:p>
    <w:p>
      <w:pPr>
        <w:spacing w:line="360" w:lineRule="exact"/>
        <w:ind w:firstLine="420" w:firstLineChars="200"/>
        <w:rPr>
          <w:rFonts w:asciiTheme="minorEastAsia" w:hAnsiTheme="minorEastAsia" w:cstheme="minorEastAsia"/>
          <w:color w:val="FF0000"/>
          <w:szCs w:val="21"/>
        </w:rPr>
      </w:pPr>
      <w:r>
        <w:rPr>
          <w:rFonts w:hint="eastAsia" w:asciiTheme="minorEastAsia" w:hAnsiTheme="minorEastAsia" w:cstheme="minorEastAsia"/>
          <w:color w:val="FF0000"/>
          <w:szCs w:val="21"/>
        </w:rPr>
        <w:t>供应商有下列情形之一的，属于隐瞒真实情况，提供虚假资料，按照采购条例第五十七的有关规定处理：（一）通过转让或者租借等方式从其他单位获取资格或者资质证书投标的；（二）由其他单位或者其他单位负责人在投标供应商编制的投标文件上加盖印章或者签字的；（三）项目负责人或者主要技术人员不是本单位人员的；（四）投标保证金不是从投标供应商基本账户转出的；（五）其他隐瞒真实情况、提供虚假资料的行为。</w:t>
      </w:r>
    </w:p>
    <w:p>
      <w:pPr>
        <w:spacing w:line="360" w:lineRule="exact"/>
        <w:ind w:firstLine="420" w:firstLineChars="200"/>
        <w:rPr>
          <w:rFonts w:asciiTheme="minorEastAsia" w:hAnsiTheme="minorEastAsia" w:cstheme="minorEastAsia"/>
          <w:color w:val="FF0000"/>
          <w:szCs w:val="21"/>
        </w:rPr>
      </w:pPr>
      <w:r>
        <w:rPr>
          <w:rFonts w:hint="eastAsia" w:asciiTheme="minorEastAsia" w:hAnsiTheme="minorEastAsia" w:cstheme="minorEastAsia"/>
          <w:color w:val="FF0000"/>
          <w:szCs w:val="21"/>
        </w:rPr>
        <w:t>投标供应商不能提供项目负责人或者主要技术人员的劳动合同、社会保险等劳动关系证明材料的，视为存在前款第（三）项规定的情形。</w:t>
      </w:r>
    </w:p>
    <w:bookmarkEnd w:id="2"/>
    <w:p>
      <w:pPr>
        <w:spacing w:line="360" w:lineRule="exact"/>
        <w:ind w:firstLine="422" w:firstLineChars="200"/>
        <w:rPr>
          <w:rFonts w:asciiTheme="minorEastAsia" w:hAnsiTheme="minorEastAsia" w:cstheme="minorEastAsia"/>
          <w:b/>
          <w:color w:val="FF0000"/>
          <w:szCs w:val="21"/>
        </w:rPr>
      </w:pPr>
      <w:r>
        <w:rPr>
          <w:rFonts w:hint="eastAsia" w:asciiTheme="minorEastAsia" w:hAnsiTheme="minorEastAsia" w:cstheme="minorEastAsia"/>
          <w:b/>
          <w:color w:val="FF0000"/>
          <w:szCs w:val="21"/>
        </w:rPr>
        <w:t>四、请投标供应商阅读《政府采购违法行为风险知悉确认书》（内容详见“投标文件附件（信息不公开部分）”），并经各投标供应商负责人或投标授权代表签字并加盖单位公章后，扫描上传至投标文件一并提交。注：该风险知悉确认书用于对供应商违法行为的警示，不作为供应商资格性审查及符合性审查条件。</w:t>
      </w:r>
    </w:p>
    <w:p>
      <w:pPr>
        <w:pStyle w:val="9"/>
      </w:pPr>
    </w:p>
    <w:p>
      <w:pPr>
        <w:pStyle w:val="10"/>
      </w:pPr>
    </w:p>
    <w:p>
      <w:pPr>
        <w:keepNext/>
        <w:keepLines/>
        <w:spacing w:before="340" w:afterLines="25" w:line="578" w:lineRule="auto"/>
        <w:jc w:val="center"/>
        <w:outlineLvl w:val="0"/>
        <w:rPr>
          <w:rFonts w:ascii="Arial" w:hAnsi="Arial" w:eastAsia="宋体" w:cs="Times New Roman"/>
          <w:b/>
          <w:bCs/>
          <w:kern w:val="44"/>
          <w:sz w:val="32"/>
          <w:szCs w:val="32"/>
        </w:rPr>
      </w:pPr>
      <w:r>
        <w:rPr>
          <w:rFonts w:hint="eastAsia" w:ascii="Arial" w:hAnsi="Arial" w:eastAsia="宋体" w:cs="Times New Roman"/>
          <w:b/>
          <w:bCs/>
          <w:kern w:val="44"/>
          <w:sz w:val="32"/>
          <w:szCs w:val="32"/>
        </w:rPr>
        <w:t>目   录</w:t>
      </w:r>
    </w:p>
    <w:p>
      <w:pPr>
        <w:rPr>
          <w:b/>
          <w:sz w:val="24"/>
          <w:szCs w:val="24"/>
        </w:rPr>
      </w:pPr>
      <w:r>
        <w:rPr>
          <w:rFonts w:hint="eastAsia"/>
          <w:b/>
          <w:sz w:val="24"/>
          <w:szCs w:val="24"/>
        </w:rPr>
        <w:t>第一册  专用条款</w:t>
      </w:r>
    </w:p>
    <w:p>
      <w:pPr>
        <w:ind w:left="630" w:leftChars="300" w:firstLine="472" w:firstLineChars="196"/>
        <w:rPr>
          <w:b/>
          <w:sz w:val="24"/>
          <w:szCs w:val="24"/>
        </w:rPr>
      </w:pPr>
      <w:r>
        <w:rPr>
          <w:rFonts w:hint="eastAsia"/>
          <w:b/>
          <w:sz w:val="24"/>
          <w:szCs w:val="24"/>
        </w:rPr>
        <w:tab/>
      </w:r>
      <w:r>
        <w:rPr>
          <w:rFonts w:hint="eastAsia" w:ascii="宋体" w:hAnsi="宋体"/>
          <w:szCs w:val="21"/>
        </w:rPr>
        <w:t>关键信息</w:t>
      </w:r>
    </w:p>
    <w:p>
      <w:pPr>
        <w:ind w:left="630" w:leftChars="300" w:firstLine="411" w:firstLineChars="196"/>
        <w:rPr>
          <w:rFonts w:ascii="宋体" w:hAnsi="宋体"/>
          <w:szCs w:val="21"/>
        </w:rPr>
      </w:pPr>
      <w:r>
        <w:rPr>
          <w:rFonts w:hint="eastAsia" w:ascii="宋体" w:hAnsi="宋体"/>
          <w:szCs w:val="21"/>
        </w:rPr>
        <w:t>第一章  招标公告</w:t>
      </w:r>
    </w:p>
    <w:p>
      <w:pPr>
        <w:ind w:left="630" w:leftChars="300" w:firstLine="411" w:firstLineChars="196"/>
        <w:rPr>
          <w:rFonts w:ascii="宋体" w:hAnsi="宋体"/>
          <w:szCs w:val="21"/>
        </w:rPr>
      </w:pPr>
      <w:r>
        <w:rPr>
          <w:rFonts w:hint="eastAsia" w:ascii="宋体" w:hAnsi="宋体"/>
          <w:szCs w:val="21"/>
        </w:rPr>
        <w:t>第二章  对通用条款的补充内容及其他关键信息</w:t>
      </w:r>
    </w:p>
    <w:p>
      <w:pPr>
        <w:ind w:left="630" w:leftChars="300" w:firstLine="411" w:firstLineChars="196"/>
        <w:rPr>
          <w:rFonts w:ascii="宋体" w:hAnsi="宋体"/>
          <w:szCs w:val="21"/>
        </w:rPr>
      </w:pPr>
      <w:r>
        <w:rPr>
          <w:rFonts w:hint="eastAsia" w:ascii="宋体" w:hAnsi="宋体"/>
          <w:szCs w:val="21"/>
        </w:rPr>
        <w:t>第三章 用户需求书</w:t>
      </w:r>
    </w:p>
    <w:p>
      <w:pPr>
        <w:ind w:left="630" w:leftChars="300" w:firstLine="411" w:firstLineChars="196"/>
        <w:rPr>
          <w:rFonts w:ascii="宋体" w:hAnsi="宋体"/>
          <w:szCs w:val="21"/>
        </w:rPr>
      </w:pPr>
      <w:r>
        <w:rPr>
          <w:rFonts w:hint="eastAsia" w:ascii="宋体" w:hAnsi="宋体"/>
          <w:szCs w:val="21"/>
        </w:rPr>
        <w:t>第四章 投标文件组成要求及格式</w:t>
      </w:r>
    </w:p>
    <w:p>
      <w:pPr>
        <w:ind w:left="630" w:leftChars="300" w:firstLine="411" w:firstLineChars="196"/>
        <w:rPr>
          <w:rFonts w:ascii="宋体" w:hAnsi="宋体"/>
          <w:szCs w:val="21"/>
        </w:rPr>
      </w:pPr>
      <w:r>
        <w:rPr>
          <w:rFonts w:hint="eastAsia" w:ascii="宋体" w:hAnsi="宋体"/>
          <w:szCs w:val="21"/>
        </w:rPr>
        <w:t>第五章  合同条款及格式</w:t>
      </w:r>
    </w:p>
    <w:p>
      <w:pPr>
        <w:rPr>
          <w:b/>
          <w:sz w:val="24"/>
        </w:rPr>
      </w:pPr>
    </w:p>
    <w:p>
      <w:pPr>
        <w:rPr>
          <w:b/>
          <w:sz w:val="24"/>
          <w:szCs w:val="24"/>
        </w:rPr>
      </w:pPr>
      <w:r>
        <w:rPr>
          <w:rFonts w:hint="eastAsia"/>
          <w:b/>
          <w:sz w:val="24"/>
          <w:szCs w:val="24"/>
        </w:rPr>
        <w:t>第二册  通用条款</w:t>
      </w:r>
    </w:p>
    <w:p>
      <w:pPr>
        <w:ind w:left="630" w:leftChars="300" w:firstLine="411" w:firstLineChars="196"/>
        <w:rPr>
          <w:rFonts w:ascii="宋体" w:hAnsi="宋体"/>
          <w:szCs w:val="21"/>
        </w:rPr>
      </w:pPr>
      <w:r>
        <w:rPr>
          <w:rFonts w:hint="eastAsia" w:ascii="宋体" w:hAnsi="宋体"/>
          <w:szCs w:val="21"/>
        </w:rPr>
        <w:t>第一章  总则</w:t>
      </w:r>
    </w:p>
    <w:p>
      <w:pPr>
        <w:ind w:left="630" w:leftChars="300" w:firstLine="411" w:firstLineChars="196"/>
        <w:rPr>
          <w:rFonts w:ascii="宋体" w:hAnsi="宋体"/>
          <w:szCs w:val="21"/>
        </w:rPr>
      </w:pPr>
      <w:r>
        <w:rPr>
          <w:rFonts w:hint="eastAsia" w:ascii="宋体" w:hAnsi="宋体"/>
          <w:szCs w:val="21"/>
        </w:rPr>
        <w:t>第二章  招标文件</w:t>
      </w:r>
    </w:p>
    <w:p>
      <w:pPr>
        <w:ind w:left="630" w:leftChars="300" w:firstLine="411" w:firstLineChars="196"/>
        <w:rPr>
          <w:rFonts w:ascii="宋体" w:hAnsi="宋体"/>
          <w:szCs w:val="21"/>
        </w:rPr>
      </w:pPr>
      <w:r>
        <w:rPr>
          <w:rFonts w:hint="eastAsia" w:ascii="宋体" w:hAnsi="宋体"/>
          <w:szCs w:val="21"/>
        </w:rPr>
        <w:t>第三章  投标文件的编制</w:t>
      </w:r>
    </w:p>
    <w:p>
      <w:pPr>
        <w:ind w:left="630" w:leftChars="300" w:firstLine="411" w:firstLineChars="196"/>
        <w:rPr>
          <w:rFonts w:ascii="宋体" w:hAnsi="宋体"/>
          <w:szCs w:val="21"/>
        </w:rPr>
      </w:pPr>
      <w:r>
        <w:rPr>
          <w:rFonts w:hint="eastAsia" w:ascii="宋体" w:hAnsi="宋体"/>
          <w:szCs w:val="21"/>
        </w:rPr>
        <w:t>第四章  投标文件的递交</w:t>
      </w:r>
    </w:p>
    <w:p>
      <w:pPr>
        <w:ind w:left="630" w:leftChars="300" w:firstLine="411" w:firstLineChars="196"/>
        <w:rPr>
          <w:rFonts w:ascii="宋体" w:hAnsi="宋体"/>
          <w:szCs w:val="21"/>
        </w:rPr>
      </w:pPr>
      <w:r>
        <w:rPr>
          <w:rFonts w:hint="eastAsia" w:ascii="宋体" w:hAnsi="宋体"/>
          <w:szCs w:val="21"/>
        </w:rPr>
        <w:t>第五章  开标</w:t>
      </w:r>
    </w:p>
    <w:p>
      <w:pPr>
        <w:ind w:left="630" w:leftChars="300" w:firstLine="411" w:firstLineChars="196"/>
        <w:rPr>
          <w:rFonts w:ascii="宋体" w:hAnsi="宋体"/>
          <w:szCs w:val="21"/>
        </w:rPr>
      </w:pPr>
      <w:r>
        <w:rPr>
          <w:rFonts w:hint="eastAsia" w:ascii="宋体" w:hAnsi="宋体"/>
          <w:szCs w:val="21"/>
        </w:rPr>
        <w:t>第六章  评审要求</w:t>
      </w:r>
    </w:p>
    <w:p>
      <w:pPr>
        <w:ind w:left="630" w:leftChars="300" w:firstLine="411" w:firstLineChars="196"/>
        <w:rPr>
          <w:rFonts w:ascii="宋体" w:hAnsi="宋体"/>
          <w:szCs w:val="21"/>
        </w:rPr>
      </w:pPr>
      <w:r>
        <w:rPr>
          <w:rFonts w:hint="eastAsia" w:ascii="宋体" w:hAnsi="宋体"/>
          <w:szCs w:val="21"/>
        </w:rPr>
        <w:t>第七章  评审程序及评审方法</w:t>
      </w:r>
    </w:p>
    <w:p>
      <w:pPr>
        <w:ind w:left="630" w:leftChars="300" w:firstLine="411" w:firstLineChars="196"/>
        <w:rPr>
          <w:rFonts w:ascii="宋体" w:hAnsi="宋体"/>
          <w:szCs w:val="21"/>
        </w:rPr>
      </w:pPr>
      <w:r>
        <w:rPr>
          <w:rFonts w:hint="eastAsia" w:ascii="宋体" w:hAnsi="宋体"/>
          <w:szCs w:val="21"/>
        </w:rPr>
        <w:t>第八章  定标及公示</w:t>
      </w:r>
    </w:p>
    <w:p>
      <w:pPr>
        <w:ind w:left="630" w:leftChars="300" w:firstLine="411" w:firstLineChars="196"/>
        <w:rPr>
          <w:rFonts w:ascii="宋体" w:hAnsi="宋体"/>
          <w:szCs w:val="21"/>
        </w:rPr>
      </w:pPr>
      <w:r>
        <w:rPr>
          <w:rFonts w:hint="eastAsia" w:ascii="宋体" w:hAnsi="宋体"/>
          <w:szCs w:val="21"/>
        </w:rPr>
        <w:t>第九章  公开招标失败的后续处理</w:t>
      </w:r>
    </w:p>
    <w:p>
      <w:pPr>
        <w:ind w:left="630" w:leftChars="300" w:firstLine="411" w:firstLineChars="196"/>
        <w:rPr>
          <w:rFonts w:ascii="宋体" w:hAnsi="宋体"/>
          <w:szCs w:val="21"/>
        </w:rPr>
      </w:pPr>
      <w:r>
        <w:rPr>
          <w:rFonts w:hint="eastAsia" w:ascii="宋体" w:hAnsi="宋体"/>
          <w:szCs w:val="21"/>
        </w:rPr>
        <w:t>第十章  合同的授予与备案</w:t>
      </w:r>
    </w:p>
    <w:p>
      <w:r>
        <w:rPr>
          <w:rFonts w:hint="eastAsia"/>
        </w:rPr>
        <w:t xml:space="preserve">          第十一章  质疑处理</w:t>
      </w:r>
    </w:p>
    <w:p/>
    <w:p/>
    <w:p>
      <w:pPr>
        <w:widowControl/>
        <w:jc w:val="left"/>
        <w:rPr>
          <w:rFonts w:ascii="宋体" w:hAnsi="宋体" w:eastAsia="黑体" w:cs="Times New Roman"/>
          <w:b/>
          <w:bCs/>
          <w:color w:val="0000FF"/>
          <w:kern w:val="44"/>
          <w:sz w:val="36"/>
          <w:szCs w:val="44"/>
        </w:rPr>
      </w:pPr>
      <w:r>
        <w:rPr>
          <w:rFonts w:ascii="宋体" w:hAnsi="宋体" w:eastAsia="黑体" w:cs="Times New Roman"/>
          <w:b/>
          <w:bCs/>
          <w:color w:val="0000FF"/>
          <w:kern w:val="44"/>
          <w:sz w:val="36"/>
          <w:szCs w:val="44"/>
        </w:rPr>
        <w:br w:type="page"/>
      </w:r>
    </w:p>
    <w:p>
      <w:pPr>
        <w:keepNext/>
        <w:keepLines/>
        <w:spacing w:before="340" w:afterLines="25" w:line="578" w:lineRule="auto"/>
        <w:jc w:val="center"/>
        <w:outlineLvl w:val="0"/>
        <w:rPr>
          <w:rFonts w:ascii="Arial" w:hAnsi="Arial" w:eastAsia="宋体" w:cs="Times New Roman"/>
          <w:b/>
          <w:bCs/>
          <w:kern w:val="44"/>
          <w:sz w:val="32"/>
          <w:szCs w:val="32"/>
        </w:rPr>
      </w:pPr>
      <w:r>
        <w:rPr>
          <w:rFonts w:hint="eastAsia" w:ascii="Arial" w:hAnsi="Arial" w:eastAsia="宋体" w:cs="Times New Roman"/>
          <w:b/>
          <w:bCs/>
          <w:kern w:val="44"/>
          <w:sz w:val="32"/>
          <w:szCs w:val="32"/>
        </w:rPr>
        <w:t>第一册  专用条款</w:t>
      </w:r>
    </w:p>
    <w:p>
      <w:pPr>
        <w:keepNext/>
        <w:keepLines/>
        <w:adjustRightInd w:val="0"/>
        <w:spacing w:before="260" w:after="260"/>
        <w:jc w:val="center"/>
        <w:textAlignment w:val="baseline"/>
        <w:outlineLvl w:val="1"/>
        <w:rPr>
          <w:rFonts w:ascii="宋体" w:hAnsi="宋体" w:eastAsia="宋体" w:cs="Times New Roman"/>
          <w:b/>
          <w:bCs/>
          <w:kern w:val="0"/>
          <w:sz w:val="28"/>
          <w:szCs w:val="28"/>
        </w:rPr>
      </w:pPr>
      <w:r>
        <w:rPr>
          <w:rFonts w:hint="eastAsia" w:ascii="宋体" w:hAnsi="宋体" w:eastAsia="宋体" w:cs="Times New Roman"/>
          <w:b/>
          <w:bCs/>
          <w:kern w:val="0"/>
          <w:sz w:val="28"/>
          <w:szCs w:val="28"/>
        </w:rPr>
        <w:t>第一章  招标公告</w:t>
      </w:r>
    </w:p>
    <w:p>
      <w:pPr>
        <w:snapToGrid w:val="0"/>
        <w:spacing w:line="300" w:lineRule="exact"/>
        <w:rPr>
          <w:rFonts w:ascii="Arial" w:hAnsi="Arial" w:eastAsia="宋体" w:cs="Times New Roman"/>
          <w:szCs w:val="21"/>
        </w:rPr>
      </w:pPr>
      <w:r>
        <w:rPr>
          <w:rFonts w:hint="eastAsia" w:ascii="Arial" w:hAnsi="Arial" w:eastAsia="宋体" w:cs="Times New Roman"/>
          <w:b/>
          <w:bCs/>
          <w:szCs w:val="21"/>
        </w:rPr>
        <w:t>申请人的资格要求：</w:t>
      </w:r>
    </w:p>
    <w:p>
      <w:pPr>
        <w:snapToGrid w:val="0"/>
        <w:spacing w:line="360" w:lineRule="exact"/>
        <w:ind w:firstLine="465"/>
        <w:rPr>
          <w:rFonts w:asciiTheme="minorEastAsia" w:hAnsiTheme="minorEastAsia" w:cstheme="minorEastAsia"/>
          <w:bCs/>
          <w:sz w:val="24"/>
          <w:szCs w:val="24"/>
        </w:rPr>
      </w:pPr>
      <w:r>
        <w:rPr>
          <w:rFonts w:hint="eastAsia" w:asciiTheme="minorEastAsia" w:hAnsiTheme="minorEastAsia" w:cstheme="minorEastAsia"/>
          <w:bCs/>
          <w:sz w:val="24"/>
          <w:szCs w:val="24"/>
        </w:rPr>
        <w:t>1）具有独立法人资格或是具有独立承担民事责任能力的其它组织（提供营业执照或事业单位法人证书等证明资料扫描件，原件备查）。</w:t>
      </w:r>
    </w:p>
    <w:p>
      <w:pPr>
        <w:snapToGrid w:val="0"/>
        <w:spacing w:line="360" w:lineRule="exact"/>
        <w:ind w:firstLine="465"/>
        <w:rPr>
          <w:rFonts w:asciiTheme="minorEastAsia" w:hAnsiTheme="minorEastAsia" w:cstheme="minorEastAsia"/>
          <w:bCs/>
          <w:sz w:val="24"/>
          <w:szCs w:val="24"/>
        </w:rPr>
      </w:pPr>
      <w:r>
        <w:rPr>
          <w:rFonts w:hint="eastAsia" w:asciiTheme="minorEastAsia" w:hAnsiTheme="minorEastAsia" w:cstheme="minorEastAsia"/>
          <w:bCs/>
          <w:sz w:val="24"/>
          <w:szCs w:val="24"/>
        </w:rPr>
        <w:t>2）本项目不接受联合体投标，不接受投标人选用进口产品参与投标。</w:t>
      </w:r>
    </w:p>
    <w:p>
      <w:pPr>
        <w:snapToGrid w:val="0"/>
        <w:spacing w:line="360" w:lineRule="exact"/>
        <w:ind w:firstLine="480" w:firstLineChars="200"/>
        <w:rPr>
          <w:rFonts w:asciiTheme="minorEastAsia" w:hAnsiTheme="minorEastAsia" w:cstheme="minorEastAsia"/>
          <w:bCs/>
          <w:sz w:val="24"/>
          <w:szCs w:val="24"/>
        </w:rPr>
      </w:pPr>
      <w:r>
        <w:rPr>
          <w:rFonts w:hint="eastAsia" w:asciiTheme="minorEastAsia" w:hAnsiTheme="minorEastAsia" w:cstheme="minorEastAsia"/>
          <w:bCs/>
          <w:sz w:val="24"/>
          <w:szCs w:val="24"/>
        </w:rPr>
        <w:t>3）参与本项目政府采购活动时不存在被有关部门禁止参与政府采购活动且在有效期内的情况（由供应商在《政府采购投标及履约承诺函》中作出声明）。</w:t>
      </w:r>
    </w:p>
    <w:p>
      <w:pPr>
        <w:snapToGrid w:val="0"/>
        <w:spacing w:line="360" w:lineRule="exact"/>
        <w:ind w:firstLine="480" w:firstLineChars="200"/>
        <w:rPr>
          <w:rFonts w:asciiTheme="minorEastAsia" w:hAnsiTheme="minorEastAsia" w:cstheme="minorEastAsia"/>
          <w:bCs/>
          <w:sz w:val="24"/>
          <w:szCs w:val="24"/>
        </w:rPr>
      </w:pPr>
      <w:r>
        <w:rPr>
          <w:rFonts w:hint="eastAsia" w:asciiTheme="minorEastAsia" w:hAnsiTheme="minorEastAsia" w:cstheme="minorEastAsia"/>
          <w:bCs/>
          <w:sz w:val="24"/>
          <w:szCs w:val="24"/>
        </w:rPr>
        <w:t>4）具备《中华人民共和国政府采购法》第二十二条第一款的条件（由供应商在《政府采购投标及履约承诺函》中作出声明）。</w:t>
      </w:r>
    </w:p>
    <w:p>
      <w:pPr>
        <w:snapToGrid w:val="0"/>
        <w:spacing w:line="360" w:lineRule="exact"/>
        <w:ind w:firstLine="480" w:firstLineChars="200"/>
        <w:rPr>
          <w:rFonts w:asciiTheme="minorEastAsia" w:hAnsiTheme="minorEastAsia" w:cstheme="minorEastAsia"/>
          <w:bCs/>
          <w:sz w:val="24"/>
          <w:szCs w:val="24"/>
        </w:rPr>
      </w:pPr>
      <w:r>
        <w:rPr>
          <w:rFonts w:hint="eastAsia" w:asciiTheme="minorEastAsia" w:hAnsiTheme="minorEastAsia" w:cstheme="minorEastAsia"/>
          <w:bCs/>
          <w:sz w:val="24"/>
          <w:szCs w:val="24"/>
        </w:rPr>
        <w:t>5）未被列入失信被执行人、重大税收违法案件当事人名单、政府采购严重违法失信行为记录名单（由供应商在《政府采购投标及履约承诺函》中作出声明）。</w:t>
      </w:r>
    </w:p>
    <w:p>
      <w:pPr>
        <w:snapToGrid w:val="0"/>
        <w:spacing w:line="360" w:lineRule="exact"/>
        <w:ind w:firstLine="465"/>
        <w:rPr>
          <w:rFonts w:asciiTheme="minorEastAsia" w:hAnsiTheme="minorEastAsia" w:cstheme="minorEastAsia"/>
          <w:bCs/>
          <w:sz w:val="24"/>
          <w:szCs w:val="24"/>
        </w:rPr>
      </w:pPr>
      <w:r>
        <w:rPr>
          <w:rFonts w:hint="eastAsia" w:asciiTheme="minorEastAsia" w:hAnsiTheme="minorEastAsia" w:cstheme="minorEastAsia"/>
          <w:bCs/>
          <w:sz w:val="24"/>
          <w:szCs w:val="24"/>
        </w:rPr>
        <w:t>6）单位负责人为同一人或者存在直接控股、管理关系的不同供应商，不得参加同一合同项下的政府采购活动；为采购项目提供整体设计、规范编制或者项目管理、监理、检测等服务的供应商，不得再参加该采购项目的其他采购活动（由供应商在《政府采购投标及履约承诺函》中作出声明）。</w:t>
      </w:r>
    </w:p>
    <w:p>
      <w:pPr>
        <w:snapToGrid w:val="0"/>
        <w:spacing w:line="360" w:lineRule="exact"/>
        <w:ind w:firstLine="480" w:firstLineChars="200"/>
        <w:rPr>
          <w:rFonts w:asciiTheme="minorEastAsia" w:hAnsiTheme="minorEastAsia" w:cstheme="minorEastAsia"/>
          <w:bCs/>
          <w:sz w:val="24"/>
          <w:szCs w:val="24"/>
          <w:highlight w:val="yellow"/>
        </w:rPr>
      </w:pPr>
      <w:r>
        <w:rPr>
          <w:rFonts w:hint="eastAsia" w:asciiTheme="minorEastAsia" w:hAnsiTheme="minorEastAsia" w:cstheme="minorEastAsia"/>
          <w:bCs/>
          <w:sz w:val="24"/>
          <w:szCs w:val="24"/>
        </w:rPr>
        <w:t>7）本项目是（否）专门面向中小企业采购：否。</w:t>
      </w:r>
    </w:p>
    <w:p>
      <w:pPr>
        <w:snapToGrid w:val="0"/>
        <w:spacing w:line="360" w:lineRule="exact"/>
        <w:ind w:firstLine="465"/>
        <w:rPr>
          <w:rFonts w:asciiTheme="minorEastAsia" w:hAnsiTheme="minorEastAsia" w:cstheme="minorEastAsia"/>
          <w:b/>
          <w:sz w:val="24"/>
          <w:szCs w:val="24"/>
        </w:rPr>
      </w:pPr>
    </w:p>
    <w:p>
      <w:pPr>
        <w:snapToGrid w:val="0"/>
        <w:spacing w:line="360" w:lineRule="exact"/>
        <w:ind w:firstLine="480" w:firstLineChars="200"/>
        <w:rPr>
          <w:rFonts w:asciiTheme="minorEastAsia" w:hAnsiTheme="minorEastAsia" w:cstheme="minorEastAsia"/>
          <w:sz w:val="24"/>
          <w:szCs w:val="24"/>
        </w:rPr>
      </w:pPr>
    </w:p>
    <w:p>
      <w:pPr>
        <w:snapToGrid w:val="0"/>
        <w:spacing w:line="360" w:lineRule="exact"/>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注：</w:t>
      </w:r>
    </w:p>
    <w:p>
      <w:pPr>
        <w:snapToGrid w:val="0"/>
        <w:spacing w:line="360" w:lineRule="exact"/>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1）“信用中国”中“信用服务”栏的“重大税收违法失信主体”“失信被执行人”，“中国政府采购网”中的“政府采购严重违法失信行为记录名单”，“深圳信用网”以及“深圳市政府采购监管网”为供应商信用信息的查询渠道，相关信息以开标当日的查询结果为准；</w:t>
      </w:r>
    </w:p>
    <w:p>
      <w:pPr>
        <w:snapToGrid w:val="0"/>
        <w:spacing w:line="360" w:lineRule="exact"/>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（2）供应商投标（上传投标文件）必须先行办理注册手续。</w:t>
      </w:r>
    </w:p>
    <w:p>
      <w:pPr>
        <w:snapToGrid w:val="0"/>
        <w:spacing w:line="300" w:lineRule="auto"/>
        <w:ind w:firstLine="480" w:firstLineChars="200"/>
        <w:rPr>
          <w:rFonts w:ascii="Arial" w:hAnsi="Arial" w:eastAsia="宋体" w:cs="Times New Roman"/>
          <w:sz w:val="24"/>
          <w:szCs w:val="24"/>
        </w:rPr>
      </w:pPr>
    </w:p>
    <w:p>
      <w:pPr>
        <w:spacing w:afterLines="25"/>
        <w:jc w:val="center"/>
        <w:rPr>
          <w:b/>
          <w:color w:val="FF0000"/>
          <w:sz w:val="30"/>
          <w:szCs w:val="30"/>
        </w:rPr>
      </w:pPr>
      <w:r>
        <w:rPr>
          <w:rFonts w:hint="eastAsia" w:ascii="Arial" w:hAnsi="Arial" w:eastAsia="宋体" w:cs="Times New Roman"/>
          <w:b/>
          <w:color w:val="FF0000"/>
          <w:sz w:val="30"/>
          <w:szCs w:val="30"/>
        </w:rPr>
        <w:t>完整公告内容以网站公布信息为准，详见：</w:t>
      </w:r>
      <w:r>
        <w:rPr>
          <w:rFonts w:hint="eastAsia"/>
          <w:b/>
          <w:color w:val="FF0000"/>
          <w:sz w:val="30"/>
          <w:szCs w:val="30"/>
        </w:rPr>
        <w:t>深圳公共资源交易网（https://www.szggzy.com/jygg/list.html?id=zfcg）</w:t>
      </w:r>
    </w:p>
    <w:p>
      <w:pPr>
        <w:widowControl/>
        <w:jc w:val="left"/>
        <w:rPr>
          <w:rFonts w:ascii="Arial" w:hAnsi="Arial" w:eastAsia="宋体" w:cs="Times New Roman"/>
          <w:b/>
          <w:color w:val="FF0000"/>
          <w:sz w:val="32"/>
          <w:szCs w:val="32"/>
        </w:rPr>
      </w:pPr>
    </w:p>
    <w:p>
      <w:pPr>
        <w:widowControl/>
        <w:jc w:val="left"/>
        <w:rPr>
          <w:rFonts w:ascii="Arial" w:hAnsi="Arial" w:eastAsia="宋体" w:cs="Times New Roman"/>
          <w:b/>
          <w:color w:val="FF0000"/>
          <w:sz w:val="32"/>
          <w:szCs w:val="32"/>
        </w:rPr>
      </w:pPr>
    </w:p>
    <w:p>
      <w:pPr>
        <w:keepNext/>
        <w:keepLines/>
        <w:spacing w:before="260" w:after="260" w:line="416" w:lineRule="auto"/>
        <w:jc w:val="center"/>
        <w:outlineLvl w:val="1"/>
        <w:rPr>
          <w:rFonts w:ascii="宋体" w:hAnsi="宋体" w:eastAsia="宋体" w:cs="Times New Roman"/>
          <w:b/>
          <w:bCs/>
          <w:kern w:val="0"/>
          <w:sz w:val="28"/>
          <w:szCs w:val="28"/>
        </w:rPr>
      </w:pPr>
      <w:r>
        <w:rPr>
          <w:rFonts w:hint="eastAsia" w:ascii="宋体" w:hAnsi="宋体" w:eastAsia="宋体" w:cs="Times New Roman"/>
          <w:b/>
          <w:bCs/>
          <w:kern w:val="0"/>
          <w:sz w:val="28"/>
          <w:szCs w:val="28"/>
        </w:rPr>
        <w:t xml:space="preserve">第二章 </w:t>
      </w:r>
      <w:bookmarkStart w:id="3" w:name="_Hlk71926094"/>
      <w:r>
        <w:rPr>
          <w:rFonts w:hint="eastAsia" w:ascii="宋体" w:hAnsi="宋体" w:eastAsia="宋体" w:cs="Times New Roman"/>
          <w:b/>
          <w:bCs/>
          <w:kern w:val="0"/>
          <w:sz w:val="28"/>
          <w:szCs w:val="28"/>
        </w:rPr>
        <w:t>对通用条款的补充内容及其他关键信息</w:t>
      </w:r>
      <w:bookmarkEnd w:id="3"/>
    </w:p>
    <w:p>
      <w:pPr>
        <w:keepNext/>
        <w:keepLines/>
        <w:adjustRightInd w:val="0"/>
        <w:spacing w:beforeLines="50" w:afterLines="50"/>
        <w:jc w:val="center"/>
        <w:textAlignment w:val="baseline"/>
        <w:outlineLvl w:val="2"/>
        <w:rPr>
          <w:rFonts w:ascii="宋体" w:hAnsi="宋体" w:eastAsia="宋体" w:cs="Times New Roman"/>
          <w:b/>
          <w:bCs/>
          <w:kern w:val="0"/>
          <w:sz w:val="24"/>
          <w:szCs w:val="24"/>
        </w:rPr>
      </w:pPr>
      <w:bookmarkStart w:id="4" w:name="_Toc60560625"/>
      <w:bookmarkStart w:id="5" w:name="_Toc73521547"/>
      <w:bookmarkStart w:id="6" w:name="_Toc101074876"/>
      <w:bookmarkStart w:id="7" w:name="_Toc73517639"/>
      <w:bookmarkStart w:id="8" w:name="_Toc73521635"/>
      <w:bookmarkStart w:id="9" w:name="_Toc60631620"/>
      <w:bookmarkStart w:id="10" w:name="_Toc100052364"/>
      <w:bookmarkStart w:id="11" w:name="_Toc73518117"/>
      <w:r>
        <w:rPr>
          <w:rFonts w:hint="eastAsia" w:ascii="宋体" w:hAnsi="宋体" w:eastAsia="宋体" w:cs="Times New Roman"/>
          <w:b/>
          <w:bCs/>
          <w:kern w:val="0"/>
          <w:sz w:val="24"/>
          <w:szCs w:val="24"/>
        </w:rPr>
        <w:t>一、对通用条款的补充内容</w:t>
      </w:r>
    </w:p>
    <w:bookmarkEnd w:id="4"/>
    <w:bookmarkEnd w:id="5"/>
    <w:bookmarkEnd w:id="6"/>
    <w:bookmarkEnd w:id="7"/>
    <w:bookmarkEnd w:id="8"/>
    <w:bookmarkEnd w:id="9"/>
    <w:bookmarkEnd w:id="10"/>
    <w:bookmarkEnd w:id="11"/>
    <w:tbl>
      <w:tblPr>
        <w:tblStyle w:val="16"/>
        <w:tblW w:w="9528" w:type="dxa"/>
        <w:jc w:val="center"/>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978"/>
        <w:gridCol w:w="1755"/>
        <w:gridCol w:w="6795"/>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978" w:type="dxa"/>
            <w:vAlign w:val="center"/>
          </w:tcPr>
          <w:p>
            <w:pPr>
              <w:jc w:val="center"/>
              <w:rPr>
                <w:rFonts w:ascii="宋体" w:hAnsi="宋体"/>
                <w:b/>
                <w:bCs/>
              </w:rPr>
            </w:pPr>
            <w:r>
              <w:rPr>
                <w:rFonts w:hint="eastAsia" w:ascii="宋体" w:hAnsi="宋体"/>
                <w:b/>
                <w:bCs/>
              </w:rPr>
              <w:t>通用条款序号</w:t>
            </w:r>
          </w:p>
        </w:tc>
        <w:tc>
          <w:tcPr>
            <w:tcW w:w="1755" w:type="dxa"/>
            <w:vAlign w:val="center"/>
          </w:tcPr>
          <w:p>
            <w:pPr>
              <w:jc w:val="center"/>
              <w:rPr>
                <w:rFonts w:ascii="宋体" w:hAnsi="宋体"/>
                <w:b/>
                <w:bCs/>
              </w:rPr>
            </w:pPr>
            <w:r>
              <w:rPr>
                <w:rFonts w:hint="eastAsia" w:ascii="宋体" w:hAnsi="宋体"/>
                <w:b/>
                <w:bCs/>
              </w:rPr>
              <w:t>涉及事项</w:t>
            </w:r>
          </w:p>
        </w:tc>
        <w:tc>
          <w:tcPr>
            <w:tcW w:w="6795" w:type="dxa"/>
            <w:vAlign w:val="center"/>
          </w:tcPr>
          <w:p>
            <w:pPr>
              <w:jc w:val="center"/>
              <w:rPr>
                <w:rFonts w:ascii="宋体" w:hAnsi="宋体"/>
                <w:b/>
                <w:bCs/>
              </w:rPr>
            </w:pPr>
            <w:r>
              <w:rPr>
                <w:rFonts w:hint="eastAsia" w:ascii="宋体" w:hAnsi="宋体"/>
                <w:b/>
                <w:bCs/>
              </w:rPr>
              <w:t>具 体 补 充 内 容</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978" w:type="dxa"/>
            <w:vAlign w:val="center"/>
          </w:tcPr>
          <w:p>
            <w:pPr>
              <w:jc w:val="center"/>
              <w:rPr>
                <w:rFonts w:ascii="宋体" w:hAnsi="宋体"/>
              </w:rPr>
            </w:pPr>
            <w:r>
              <w:rPr>
                <w:rFonts w:hint="eastAsia" w:ascii="宋体" w:hAnsi="宋体"/>
              </w:rPr>
              <w:t>3</w:t>
            </w:r>
            <w:r>
              <w:rPr>
                <w:rFonts w:ascii="宋体" w:hAnsi="宋体"/>
              </w:rPr>
              <w:t>.1</w:t>
            </w:r>
          </w:p>
        </w:tc>
        <w:tc>
          <w:tcPr>
            <w:tcW w:w="1755" w:type="dxa"/>
            <w:vAlign w:val="center"/>
          </w:tcPr>
          <w:p>
            <w:pPr>
              <w:jc w:val="center"/>
            </w:pPr>
            <w:r>
              <w:rPr>
                <w:rFonts w:hint="eastAsia"/>
              </w:rPr>
              <w:t>采购人</w:t>
            </w:r>
          </w:p>
        </w:tc>
        <w:tc>
          <w:tcPr>
            <w:tcW w:w="6795" w:type="dxa"/>
            <w:vAlign w:val="center"/>
          </w:tcPr>
          <w:p>
            <w:pPr>
              <w:jc w:val="left"/>
              <w:rPr>
                <w:rFonts w:ascii="宋体" w:hAnsi="宋体"/>
              </w:rPr>
            </w:pPr>
            <w:r>
              <w:rPr>
                <w:rFonts w:hint="eastAsia" w:ascii="宋体" w:hAnsi="宋体" w:eastAsia="宋体" w:cs="Arial"/>
                <w:b/>
                <w:szCs w:val="21"/>
              </w:rPr>
              <w:t>深圳市宝安职业教育集团</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978" w:type="dxa"/>
            <w:vAlign w:val="center"/>
          </w:tcPr>
          <w:p>
            <w:pPr>
              <w:jc w:val="center"/>
              <w:rPr>
                <w:rFonts w:ascii="宋体" w:hAnsi="宋体"/>
              </w:rPr>
            </w:pPr>
            <w:r>
              <w:rPr>
                <w:rFonts w:hint="eastAsia" w:ascii="宋体" w:hAnsi="宋体"/>
              </w:rPr>
              <w:t>3</w:t>
            </w:r>
            <w:r>
              <w:rPr>
                <w:rFonts w:ascii="宋体" w:hAnsi="宋体"/>
              </w:rPr>
              <w:t>.2</w:t>
            </w:r>
          </w:p>
        </w:tc>
        <w:tc>
          <w:tcPr>
            <w:tcW w:w="1755" w:type="dxa"/>
            <w:vAlign w:val="center"/>
          </w:tcPr>
          <w:p>
            <w:pPr>
              <w:jc w:val="center"/>
              <w:rPr>
                <w:rFonts w:ascii="宋体" w:hAnsi="宋体"/>
              </w:rPr>
            </w:pPr>
            <w:r>
              <w:rPr>
                <w:rFonts w:hint="eastAsia" w:ascii="宋体" w:hAnsi="宋体"/>
              </w:rPr>
              <w:t>政府集中采购机构</w:t>
            </w:r>
          </w:p>
        </w:tc>
        <w:tc>
          <w:tcPr>
            <w:tcW w:w="6795" w:type="dxa"/>
            <w:vAlign w:val="center"/>
          </w:tcPr>
          <w:p>
            <w:pPr>
              <w:jc w:val="left"/>
              <w:rPr>
                <w:rFonts w:ascii="宋体" w:hAnsi="宋体"/>
              </w:rPr>
            </w:pPr>
            <w:r>
              <w:rPr>
                <w:rFonts w:hint="eastAsia" w:ascii="宋体" w:hAnsi="宋体" w:eastAsia="宋体" w:cs="Arial"/>
                <w:szCs w:val="21"/>
              </w:rPr>
              <w:t>本文件所述的“政府集中采购机构”</w:t>
            </w:r>
            <w:r>
              <w:rPr>
                <w:rFonts w:ascii="宋体" w:hAnsi="宋体" w:eastAsia="宋体" w:cs="Arial"/>
                <w:szCs w:val="21"/>
              </w:rPr>
              <w:t>指</w:t>
            </w:r>
            <w:r>
              <w:rPr>
                <w:rFonts w:hint="eastAsia" w:ascii="宋体" w:hAnsi="宋体" w:eastAsia="宋体" w:cs="Arial"/>
                <w:b/>
                <w:bCs/>
                <w:szCs w:val="21"/>
              </w:rPr>
              <w:t>深圳公共资源交易中心</w:t>
            </w:r>
            <w:r>
              <w:rPr>
                <w:rFonts w:hint="eastAsia" w:ascii="Arial" w:hAnsi="Arial" w:eastAsia="宋体" w:cs="Times New Roman"/>
                <w:szCs w:val="24"/>
              </w:rPr>
              <w:t>。本项目具体由深圳公共资源交易中心（深圳交易集团有限公司宝安分公司）执行</w:t>
            </w:r>
            <w:r>
              <w:rPr>
                <w:rFonts w:hint="eastAsia" w:ascii="Arial" w:hAnsi="Arial" w:eastAsia="宋体" w:cs="Times New Roman"/>
                <w:bCs/>
                <w:szCs w:val="24"/>
              </w:rPr>
              <w:t>。</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978" w:type="dxa"/>
            <w:vAlign w:val="center"/>
          </w:tcPr>
          <w:p>
            <w:pPr>
              <w:jc w:val="center"/>
              <w:rPr>
                <w:rFonts w:ascii="宋体" w:hAnsi="宋体"/>
              </w:rPr>
            </w:pPr>
            <w:r>
              <w:rPr>
                <w:rFonts w:hint="eastAsia" w:ascii="宋体" w:hAnsi="宋体"/>
              </w:rPr>
              <w:t>5</w:t>
            </w:r>
            <w:r>
              <w:rPr>
                <w:rFonts w:ascii="宋体" w:hAnsi="宋体"/>
              </w:rPr>
              <w:t>.3</w:t>
            </w:r>
          </w:p>
        </w:tc>
        <w:tc>
          <w:tcPr>
            <w:tcW w:w="1755" w:type="dxa"/>
            <w:vAlign w:val="center"/>
          </w:tcPr>
          <w:p>
            <w:pPr>
              <w:jc w:val="center"/>
              <w:rPr>
                <w:rFonts w:ascii="宋体" w:hAnsi="宋体"/>
              </w:rPr>
            </w:pPr>
            <w:r>
              <w:rPr>
                <w:rFonts w:hint="eastAsia" w:ascii="宋体" w:hAnsi="宋体"/>
              </w:rPr>
              <w:t>联合体投标</w:t>
            </w:r>
          </w:p>
        </w:tc>
        <w:tc>
          <w:tcPr>
            <w:tcW w:w="6795" w:type="dxa"/>
            <w:vAlign w:val="center"/>
          </w:tcPr>
          <w:p>
            <w:pPr>
              <w:jc w:val="left"/>
              <w:rPr>
                <w:rFonts w:ascii="宋体" w:hAnsi="宋体"/>
              </w:rPr>
            </w:pPr>
            <w:r>
              <w:rPr>
                <w:rFonts w:hint="eastAsia" w:ascii="宋体" w:hAnsi="宋体"/>
              </w:rPr>
              <w:t>详见本项目招标公告申请人的资格要求</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978" w:type="dxa"/>
            <w:vAlign w:val="center"/>
          </w:tcPr>
          <w:p>
            <w:pPr>
              <w:jc w:val="center"/>
              <w:rPr>
                <w:rFonts w:ascii="宋体" w:hAnsi="宋体"/>
              </w:rPr>
            </w:pPr>
            <w:r>
              <w:rPr>
                <w:rFonts w:hint="eastAsia" w:ascii="宋体" w:hAnsi="宋体"/>
              </w:rPr>
              <w:t>9</w:t>
            </w:r>
          </w:p>
        </w:tc>
        <w:tc>
          <w:tcPr>
            <w:tcW w:w="1755" w:type="dxa"/>
            <w:vAlign w:val="center"/>
          </w:tcPr>
          <w:p>
            <w:pPr>
              <w:jc w:val="center"/>
              <w:rPr>
                <w:rFonts w:ascii="宋体" w:hAnsi="宋体"/>
              </w:rPr>
            </w:pPr>
            <w:r>
              <w:rPr>
                <w:rFonts w:hint="eastAsia" w:ascii="宋体" w:hAnsi="宋体"/>
              </w:rPr>
              <w:t>踏勘现场</w:t>
            </w:r>
          </w:p>
        </w:tc>
        <w:tc>
          <w:tcPr>
            <w:tcW w:w="6795" w:type="dxa"/>
            <w:vAlign w:val="center"/>
          </w:tcPr>
          <w:p>
            <w:pPr>
              <w:snapToGrid w:val="0"/>
              <w:jc w:val="left"/>
              <w:rPr>
                <w:rFonts w:ascii="宋体" w:hAnsi="宋体"/>
              </w:rPr>
            </w:pPr>
            <w:r>
              <w:rPr>
                <w:rFonts w:hint="eastAsia" w:ascii="宋体" w:hAnsi="宋体" w:eastAsia="宋体" w:cs="Arial"/>
                <w:szCs w:val="21"/>
              </w:rPr>
              <w:t>不组织</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978" w:type="dxa"/>
            <w:vAlign w:val="center"/>
          </w:tcPr>
          <w:p>
            <w:pPr>
              <w:jc w:val="center"/>
              <w:rPr>
                <w:rFonts w:ascii="宋体" w:hAnsi="宋体"/>
              </w:rPr>
            </w:pPr>
            <w:r>
              <w:rPr>
                <w:rFonts w:hint="eastAsia" w:ascii="宋体" w:hAnsi="宋体"/>
              </w:rPr>
              <w:t>1</w:t>
            </w:r>
            <w:r>
              <w:rPr>
                <w:rFonts w:ascii="宋体" w:hAnsi="宋体"/>
              </w:rPr>
              <w:t>0</w:t>
            </w:r>
          </w:p>
        </w:tc>
        <w:tc>
          <w:tcPr>
            <w:tcW w:w="1755" w:type="dxa"/>
            <w:vAlign w:val="center"/>
          </w:tcPr>
          <w:p>
            <w:pPr>
              <w:jc w:val="center"/>
              <w:rPr>
                <w:rFonts w:ascii="宋体" w:hAnsi="宋体"/>
              </w:rPr>
            </w:pPr>
            <w:r>
              <w:rPr>
                <w:rFonts w:hint="eastAsia" w:ascii="宋体" w:hAnsi="宋体"/>
              </w:rPr>
              <w:t>标前会议</w:t>
            </w:r>
          </w:p>
        </w:tc>
        <w:tc>
          <w:tcPr>
            <w:tcW w:w="6795" w:type="dxa"/>
            <w:vAlign w:val="center"/>
          </w:tcPr>
          <w:p>
            <w:pPr>
              <w:jc w:val="left"/>
              <w:rPr>
                <w:rFonts w:ascii="宋体" w:hAnsi="宋体"/>
              </w:rPr>
            </w:pPr>
            <w:r>
              <w:rPr>
                <w:rFonts w:hint="eastAsia" w:ascii="宋体" w:hAnsi="宋体" w:eastAsia="宋体" w:cs="Arial"/>
                <w:szCs w:val="21"/>
              </w:rPr>
              <w:t>不组织</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978" w:type="dxa"/>
            <w:vAlign w:val="center"/>
          </w:tcPr>
          <w:p>
            <w:pPr>
              <w:jc w:val="center"/>
              <w:rPr>
                <w:rFonts w:ascii="宋体" w:hAnsi="宋体"/>
              </w:rPr>
            </w:pPr>
            <w:r>
              <w:rPr>
                <w:rFonts w:hint="eastAsia" w:ascii="宋体" w:hAnsi="宋体"/>
              </w:rPr>
              <w:t>1</w:t>
            </w:r>
            <w:r>
              <w:rPr>
                <w:rFonts w:ascii="宋体" w:hAnsi="宋体"/>
              </w:rPr>
              <w:t>2</w:t>
            </w:r>
            <w:r>
              <w:rPr>
                <w:rFonts w:hint="eastAsia" w:ascii="宋体" w:hAnsi="宋体"/>
              </w:rPr>
              <w:t>/1</w:t>
            </w:r>
            <w:r>
              <w:rPr>
                <w:rFonts w:ascii="宋体" w:hAnsi="宋体"/>
              </w:rPr>
              <w:t>3</w:t>
            </w:r>
          </w:p>
        </w:tc>
        <w:tc>
          <w:tcPr>
            <w:tcW w:w="1755" w:type="dxa"/>
            <w:vAlign w:val="center"/>
          </w:tcPr>
          <w:p>
            <w:pPr>
              <w:jc w:val="center"/>
              <w:rPr>
                <w:rFonts w:ascii="宋体" w:hAnsi="宋体"/>
              </w:rPr>
            </w:pPr>
            <w:r>
              <w:rPr>
                <w:rFonts w:hint="eastAsia" w:ascii="宋体" w:hAnsi="宋体"/>
              </w:rPr>
              <w:t>招标文件的澄清和修改</w:t>
            </w:r>
          </w:p>
        </w:tc>
        <w:tc>
          <w:tcPr>
            <w:tcW w:w="6795" w:type="dxa"/>
            <w:vAlign w:val="center"/>
          </w:tcPr>
          <w:p>
            <w:pPr>
              <w:jc w:val="left"/>
              <w:rPr>
                <w:rFonts w:ascii="宋体" w:hAnsi="宋体"/>
              </w:rPr>
            </w:pPr>
            <w:r>
              <w:rPr>
                <w:rFonts w:hint="eastAsia" w:ascii="宋体" w:hAnsi="宋体"/>
              </w:rPr>
              <w:t>对招标文件澄清/修改时间不晚于投标截止日三日前，投标人有义务在招标期间在政府集中采购机构网站浏览与本项目有关的澄清和修改信息。</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978" w:type="dxa"/>
            <w:vAlign w:val="center"/>
          </w:tcPr>
          <w:p>
            <w:pPr>
              <w:jc w:val="center"/>
              <w:rPr>
                <w:rFonts w:ascii="宋体" w:hAnsi="宋体"/>
              </w:rPr>
            </w:pPr>
            <w:r>
              <w:rPr>
                <w:rFonts w:hint="eastAsia" w:ascii="宋体" w:hAnsi="宋体"/>
              </w:rPr>
              <w:t>2</w:t>
            </w:r>
            <w:r>
              <w:rPr>
                <w:rFonts w:ascii="宋体" w:hAnsi="宋体"/>
              </w:rPr>
              <w:t>0</w:t>
            </w:r>
          </w:p>
        </w:tc>
        <w:tc>
          <w:tcPr>
            <w:tcW w:w="1755" w:type="dxa"/>
            <w:vAlign w:val="center"/>
          </w:tcPr>
          <w:p>
            <w:pPr>
              <w:jc w:val="center"/>
              <w:rPr>
                <w:rFonts w:ascii="宋体" w:hAnsi="宋体"/>
              </w:rPr>
            </w:pPr>
            <w:r>
              <w:rPr>
                <w:rFonts w:hint="eastAsia" w:ascii="宋体" w:hAnsi="宋体"/>
              </w:rPr>
              <w:t>投标有效期</w:t>
            </w:r>
          </w:p>
        </w:tc>
        <w:tc>
          <w:tcPr>
            <w:tcW w:w="6795" w:type="dxa"/>
            <w:vAlign w:val="center"/>
          </w:tcPr>
          <w:p>
            <w:pPr>
              <w:jc w:val="left"/>
              <w:rPr>
                <w:rFonts w:ascii="宋体" w:hAnsi="宋体"/>
              </w:rPr>
            </w:pPr>
            <w:r>
              <w:rPr>
                <w:rFonts w:hint="eastAsia" w:ascii="宋体" w:hAnsi="宋体" w:eastAsia="宋体" w:cs="Arial"/>
                <w:szCs w:val="21"/>
              </w:rPr>
              <w:t>投标有效期：从投标截止之日起</w:t>
            </w:r>
            <w:r>
              <w:rPr>
                <w:rFonts w:hint="eastAsia" w:ascii="宋体" w:hAnsi="宋体" w:eastAsia="宋体" w:cs="Times New Roman"/>
                <w:b/>
                <w:color w:val="0000FF"/>
                <w:sz w:val="24"/>
                <w:szCs w:val="24"/>
                <w:u w:val="single"/>
              </w:rPr>
              <w:t xml:space="preserve"> 120 </w:t>
            </w:r>
            <w:r>
              <w:rPr>
                <w:rFonts w:hint="eastAsia" w:ascii="宋体" w:hAnsi="宋体" w:eastAsia="宋体" w:cs="Arial"/>
                <w:szCs w:val="21"/>
              </w:rPr>
              <w:t>个日历日。</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978" w:type="dxa"/>
            <w:vAlign w:val="center"/>
          </w:tcPr>
          <w:p>
            <w:pPr>
              <w:jc w:val="center"/>
              <w:rPr>
                <w:rFonts w:ascii="宋体" w:hAnsi="宋体"/>
              </w:rPr>
            </w:pPr>
            <w:r>
              <w:rPr>
                <w:rFonts w:hint="eastAsia" w:ascii="宋体" w:hAnsi="宋体"/>
              </w:rPr>
              <w:t>2</w:t>
            </w:r>
            <w:r>
              <w:rPr>
                <w:rFonts w:ascii="宋体" w:hAnsi="宋体"/>
              </w:rPr>
              <w:t>2</w:t>
            </w:r>
          </w:p>
        </w:tc>
        <w:tc>
          <w:tcPr>
            <w:tcW w:w="1755" w:type="dxa"/>
            <w:vAlign w:val="center"/>
          </w:tcPr>
          <w:p>
            <w:pPr>
              <w:jc w:val="center"/>
              <w:rPr>
                <w:rFonts w:ascii="宋体" w:hAnsi="宋体"/>
              </w:rPr>
            </w:pPr>
            <w:r>
              <w:rPr>
                <w:rFonts w:hint="eastAsia" w:ascii="宋体" w:hAnsi="宋体"/>
              </w:rPr>
              <w:t>投标人的替代方案</w:t>
            </w:r>
          </w:p>
        </w:tc>
        <w:tc>
          <w:tcPr>
            <w:tcW w:w="6795" w:type="dxa"/>
            <w:vAlign w:val="center"/>
          </w:tcPr>
          <w:p>
            <w:pPr>
              <w:jc w:val="left"/>
              <w:rPr>
                <w:rFonts w:ascii="宋体" w:hAnsi="宋体"/>
              </w:rPr>
            </w:pPr>
            <w:r>
              <w:rPr>
                <w:rFonts w:hint="eastAsia" w:ascii="宋体" w:hAnsi="宋体"/>
              </w:rPr>
              <w:t>不接受</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978" w:type="dxa"/>
            <w:vAlign w:val="center"/>
          </w:tcPr>
          <w:p>
            <w:pPr>
              <w:jc w:val="center"/>
              <w:rPr>
                <w:rFonts w:ascii="宋体" w:hAnsi="宋体"/>
              </w:rPr>
            </w:pPr>
            <w:r>
              <w:rPr>
                <w:rFonts w:hint="eastAsia" w:ascii="宋体" w:hAnsi="宋体"/>
              </w:rPr>
              <w:t>2</w:t>
            </w:r>
            <w:r>
              <w:rPr>
                <w:rFonts w:ascii="宋体" w:hAnsi="宋体"/>
              </w:rPr>
              <w:t>5</w:t>
            </w:r>
          </w:p>
        </w:tc>
        <w:tc>
          <w:tcPr>
            <w:tcW w:w="1755" w:type="dxa"/>
            <w:vAlign w:val="center"/>
          </w:tcPr>
          <w:p>
            <w:pPr>
              <w:jc w:val="center"/>
              <w:rPr>
                <w:rFonts w:ascii="宋体" w:hAnsi="宋体"/>
              </w:rPr>
            </w:pPr>
            <w:r>
              <w:rPr>
                <w:rFonts w:hint="eastAsia" w:ascii="宋体" w:hAnsi="宋体"/>
              </w:rPr>
              <w:t>投标文件的大小</w:t>
            </w:r>
          </w:p>
        </w:tc>
        <w:tc>
          <w:tcPr>
            <w:tcW w:w="6795" w:type="dxa"/>
            <w:vAlign w:val="center"/>
          </w:tcPr>
          <w:p>
            <w:pPr>
              <w:jc w:val="left"/>
              <w:rPr>
                <w:rFonts w:ascii="宋体" w:hAnsi="宋体"/>
              </w:rPr>
            </w:pPr>
            <w:r>
              <w:rPr>
                <w:rFonts w:hint="eastAsia" w:ascii="宋体" w:hAnsi="宋体" w:eastAsia="宋体" w:cs="Arial"/>
                <w:szCs w:val="21"/>
              </w:rPr>
              <w:t>投标文件大小不得超过 100MB</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978" w:type="dxa"/>
            <w:vAlign w:val="center"/>
          </w:tcPr>
          <w:p>
            <w:pPr>
              <w:jc w:val="center"/>
              <w:rPr>
                <w:rFonts w:ascii="宋体" w:hAnsi="宋体"/>
              </w:rPr>
            </w:pPr>
            <w:r>
              <w:rPr>
                <w:rFonts w:hint="eastAsia" w:ascii="宋体" w:hAnsi="宋体"/>
              </w:rPr>
              <w:t>2</w:t>
            </w:r>
            <w:r>
              <w:rPr>
                <w:rFonts w:ascii="宋体" w:hAnsi="宋体"/>
              </w:rPr>
              <w:t>6</w:t>
            </w:r>
          </w:p>
        </w:tc>
        <w:tc>
          <w:tcPr>
            <w:tcW w:w="1755" w:type="dxa"/>
            <w:vAlign w:val="center"/>
          </w:tcPr>
          <w:p>
            <w:pPr>
              <w:jc w:val="center"/>
              <w:rPr>
                <w:rFonts w:ascii="宋体" w:hAnsi="宋体"/>
              </w:rPr>
            </w:pPr>
            <w:bookmarkStart w:id="12" w:name="_Hlk71664860"/>
            <w:r>
              <w:rPr>
                <w:rFonts w:hint="eastAsia" w:ascii="宋体" w:hAnsi="宋体"/>
              </w:rPr>
              <w:t>样品、现场演示、方案讲解</w:t>
            </w:r>
            <w:bookmarkEnd w:id="12"/>
          </w:p>
        </w:tc>
        <w:tc>
          <w:tcPr>
            <w:tcW w:w="6795" w:type="dxa"/>
            <w:vAlign w:val="center"/>
          </w:tcPr>
          <w:p>
            <w:pPr>
              <w:jc w:val="left"/>
              <w:rPr>
                <w:rFonts w:ascii="宋体" w:hAnsi="宋体"/>
              </w:rPr>
            </w:pPr>
            <w:r>
              <w:rPr>
                <w:rFonts w:hint="eastAsia" w:ascii="宋体" w:hAnsi="宋体"/>
              </w:rPr>
              <w:t>不要求提供样品；不组织现场演示；不组织方案讲解。</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978" w:type="dxa"/>
            <w:vAlign w:val="center"/>
          </w:tcPr>
          <w:p>
            <w:pPr>
              <w:jc w:val="center"/>
              <w:rPr>
                <w:rFonts w:ascii="宋体" w:hAnsi="宋体"/>
              </w:rPr>
            </w:pPr>
            <w:r>
              <w:rPr>
                <w:rFonts w:hint="eastAsia" w:ascii="宋体" w:hAnsi="宋体"/>
              </w:rPr>
              <w:t>3</w:t>
            </w:r>
            <w:r>
              <w:rPr>
                <w:rFonts w:ascii="宋体" w:hAnsi="宋体"/>
              </w:rPr>
              <w:t>7</w:t>
            </w:r>
          </w:p>
        </w:tc>
        <w:tc>
          <w:tcPr>
            <w:tcW w:w="1755" w:type="dxa"/>
            <w:vAlign w:val="center"/>
          </w:tcPr>
          <w:p>
            <w:pPr>
              <w:jc w:val="center"/>
              <w:rPr>
                <w:rFonts w:ascii="宋体" w:hAnsi="宋体"/>
              </w:rPr>
            </w:pPr>
            <w:r>
              <w:rPr>
                <w:rFonts w:hint="eastAsia" w:ascii="宋体" w:hAnsi="宋体"/>
              </w:rPr>
              <w:t>评审方法</w:t>
            </w:r>
          </w:p>
        </w:tc>
        <w:tc>
          <w:tcPr>
            <w:tcW w:w="6795" w:type="dxa"/>
            <w:vAlign w:val="center"/>
          </w:tcPr>
          <w:p>
            <w:pPr>
              <w:jc w:val="left"/>
              <w:rPr>
                <w:rFonts w:ascii="宋体" w:hAnsi="宋体"/>
              </w:rPr>
            </w:pPr>
            <w:r>
              <w:rPr>
                <w:rFonts w:ascii="宋体" w:hAnsi="宋体"/>
                <w:b/>
                <w:bCs/>
              </w:rPr>
              <w:t>综合评分法</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978" w:type="dxa"/>
            <w:vAlign w:val="center"/>
          </w:tcPr>
          <w:p>
            <w:pPr>
              <w:jc w:val="center"/>
              <w:rPr>
                <w:rFonts w:ascii="宋体" w:hAnsi="宋体"/>
              </w:rPr>
            </w:pPr>
            <w:r>
              <w:rPr>
                <w:rFonts w:hint="eastAsia" w:ascii="宋体" w:hAnsi="宋体"/>
              </w:rPr>
              <w:t>3</w:t>
            </w:r>
            <w:r>
              <w:rPr>
                <w:rFonts w:ascii="宋体" w:hAnsi="宋体"/>
              </w:rPr>
              <w:t>8</w:t>
            </w:r>
          </w:p>
        </w:tc>
        <w:tc>
          <w:tcPr>
            <w:tcW w:w="1755" w:type="dxa"/>
            <w:vAlign w:val="center"/>
          </w:tcPr>
          <w:p>
            <w:pPr>
              <w:jc w:val="center"/>
              <w:rPr>
                <w:rFonts w:ascii="宋体" w:hAnsi="宋体"/>
              </w:rPr>
            </w:pPr>
            <w:r>
              <w:rPr>
                <w:rFonts w:hint="eastAsia" w:ascii="宋体" w:hAnsi="宋体"/>
              </w:rPr>
              <w:t>定标方法</w:t>
            </w:r>
          </w:p>
        </w:tc>
        <w:tc>
          <w:tcPr>
            <w:tcW w:w="6795" w:type="dxa"/>
            <w:vAlign w:val="center"/>
          </w:tcPr>
          <w:p>
            <w:pPr>
              <w:snapToGrid w:val="0"/>
              <w:rPr>
                <w:rFonts w:ascii="宋体" w:hAnsi="宋体"/>
                <w:b/>
                <w:bCs/>
                <w:highlight w:val="yellow"/>
              </w:rPr>
            </w:pPr>
            <w:r>
              <w:rPr>
                <w:rFonts w:hint="eastAsia" w:ascii="宋体" w:hAnsi="宋体" w:eastAsia="宋体" w:cs="Times New Roman"/>
                <w:b/>
                <w:bCs/>
                <w:szCs w:val="21"/>
                <w:highlight w:val="yellow"/>
              </w:rPr>
              <w:t>非评定分离</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978" w:type="dxa"/>
            <w:vAlign w:val="center"/>
          </w:tcPr>
          <w:p>
            <w:pPr>
              <w:jc w:val="center"/>
              <w:rPr>
                <w:rFonts w:ascii="宋体" w:hAnsi="宋体"/>
              </w:rPr>
            </w:pPr>
            <w:r>
              <w:rPr>
                <w:rFonts w:hint="eastAsia" w:ascii="宋体" w:hAnsi="宋体"/>
              </w:rPr>
              <w:t>4</w:t>
            </w:r>
            <w:r>
              <w:rPr>
                <w:rFonts w:ascii="宋体" w:hAnsi="宋体"/>
              </w:rPr>
              <w:t>6</w:t>
            </w:r>
          </w:p>
        </w:tc>
        <w:tc>
          <w:tcPr>
            <w:tcW w:w="1755" w:type="dxa"/>
            <w:vAlign w:val="center"/>
          </w:tcPr>
          <w:p>
            <w:pPr>
              <w:jc w:val="center"/>
              <w:rPr>
                <w:rFonts w:ascii="宋体" w:hAnsi="宋体"/>
              </w:rPr>
            </w:pPr>
            <w:r>
              <w:rPr>
                <w:rFonts w:hint="eastAsia" w:ascii="宋体" w:hAnsi="宋体"/>
              </w:rPr>
              <w:t>履约担保</w:t>
            </w:r>
          </w:p>
        </w:tc>
        <w:tc>
          <w:tcPr>
            <w:tcW w:w="6795" w:type="dxa"/>
            <w:vAlign w:val="center"/>
          </w:tcPr>
          <w:p>
            <w:pPr>
              <w:jc w:val="left"/>
              <w:rPr>
                <w:rFonts w:ascii="宋体" w:hAnsi="宋体"/>
              </w:rPr>
            </w:pPr>
            <w:r>
              <w:rPr>
                <w:rFonts w:hint="eastAsia" w:ascii="宋体" w:hAnsi="宋体"/>
              </w:rPr>
              <w:t>不需要</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978" w:type="dxa"/>
            <w:vAlign w:val="center"/>
          </w:tcPr>
          <w:p>
            <w:pPr>
              <w:jc w:val="center"/>
              <w:rPr>
                <w:rFonts w:ascii="宋体" w:hAnsi="宋体"/>
              </w:rPr>
            </w:pPr>
            <w:r>
              <w:rPr>
                <w:rFonts w:hint="eastAsia" w:ascii="宋体" w:hAnsi="宋体"/>
              </w:rPr>
              <w:t>52.8</w:t>
            </w:r>
          </w:p>
        </w:tc>
        <w:tc>
          <w:tcPr>
            <w:tcW w:w="1755" w:type="dxa"/>
            <w:vAlign w:val="center"/>
          </w:tcPr>
          <w:p>
            <w:pPr>
              <w:jc w:val="center"/>
              <w:rPr>
                <w:rFonts w:ascii="宋体" w:hAnsi="宋体"/>
              </w:rPr>
            </w:pPr>
            <w:r>
              <w:rPr>
                <w:rFonts w:hint="eastAsia" w:ascii="宋体" w:hAnsi="宋体"/>
              </w:rPr>
              <w:t>投诉</w:t>
            </w:r>
          </w:p>
        </w:tc>
        <w:tc>
          <w:tcPr>
            <w:tcW w:w="6795" w:type="dxa"/>
            <w:vAlign w:val="center"/>
          </w:tcPr>
          <w:p>
            <w:pPr>
              <w:jc w:val="left"/>
              <w:rPr>
                <w:rFonts w:ascii="宋体" w:hAnsi="宋体"/>
              </w:rPr>
            </w:pPr>
            <w:r>
              <w:rPr>
                <w:rFonts w:hint="eastAsia" w:ascii="宋体" w:hAnsi="宋体"/>
              </w:rPr>
              <w:t>对被质疑人的答复不满意或者被质疑人未在规定时间内答复的，提出质疑的供应商可以在答复期满后十五个工作日内向本项目预算主管单位（深圳市宝安区教育局）投诉。供应商投诉的事项应当是经过质疑的事项。</w:t>
            </w:r>
          </w:p>
        </w:tc>
      </w:tr>
    </w:tbl>
    <w:p>
      <w:pPr>
        <w:widowControl/>
        <w:jc w:val="center"/>
        <w:rPr>
          <w:szCs w:val="21"/>
        </w:rPr>
      </w:pPr>
      <w:r>
        <w:rPr>
          <w:rFonts w:hint="eastAsia"/>
          <w:szCs w:val="21"/>
        </w:rPr>
        <w:t>备注：本表是通用条款相关条款的补充和明确，如与通用条款内容相冲突的，以本表为准。</w:t>
      </w:r>
    </w:p>
    <w:p>
      <w:pPr>
        <w:keepNext/>
        <w:keepLines/>
        <w:adjustRightInd w:val="0"/>
        <w:spacing w:beforeLines="50" w:afterLines="50"/>
        <w:jc w:val="center"/>
        <w:textAlignment w:val="baseline"/>
        <w:outlineLvl w:val="2"/>
        <w:rPr>
          <w:rFonts w:ascii="宋体" w:hAnsi="宋体" w:eastAsia="宋体" w:cs="Times New Roman"/>
          <w:b/>
          <w:bCs/>
          <w:kern w:val="0"/>
          <w:sz w:val="24"/>
          <w:szCs w:val="24"/>
        </w:rPr>
      </w:pPr>
      <w:r>
        <w:rPr>
          <w:rFonts w:hint="eastAsia" w:ascii="宋体" w:hAnsi="宋体" w:eastAsia="宋体" w:cs="Times New Roman"/>
          <w:b/>
          <w:bCs/>
          <w:kern w:val="0"/>
          <w:sz w:val="24"/>
          <w:szCs w:val="24"/>
        </w:rPr>
        <w:t>二、其他关键信息</w:t>
      </w:r>
    </w:p>
    <w:p>
      <w:pPr>
        <w:tabs>
          <w:tab w:val="left" w:pos="720"/>
        </w:tabs>
        <w:rPr>
          <w:rFonts w:ascii="黑体" w:hAnsi="宋体" w:eastAsia="黑体"/>
          <w:sz w:val="24"/>
        </w:rPr>
      </w:pPr>
      <w:r>
        <w:rPr>
          <w:rFonts w:hint="eastAsia" w:ascii="黑体" w:hAnsi="宋体" w:eastAsia="黑体"/>
          <w:sz w:val="24"/>
        </w:rPr>
        <w:t>（一）</w:t>
      </w:r>
      <w:r>
        <w:rPr>
          <w:rFonts w:hint="eastAsia" w:ascii="黑体" w:hAnsi="宋体" w:eastAsia="黑体"/>
          <w:bCs/>
          <w:sz w:val="24"/>
        </w:rPr>
        <w:t>与“对通用条款的补充内容”章节相关的事项</w:t>
      </w:r>
    </w:p>
    <w:p>
      <w:pPr>
        <w:tabs>
          <w:tab w:val="left" w:pos="720"/>
        </w:tabs>
      </w:pPr>
      <w:r>
        <w:rPr>
          <w:rFonts w:hint="eastAsia" w:ascii="黑体" w:hAnsi="宋体" w:eastAsia="黑体"/>
          <w:bCs/>
          <w:sz w:val="24"/>
        </w:rPr>
        <w:t>1、评标定标信息</w:t>
      </w:r>
    </w:p>
    <w:p>
      <w:pPr>
        <w:tabs>
          <w:tab w:val="left" w:pos="720"/>
        </w:tabs>
        <w:jc w:val="center"/>
      </w:pPr>
      <w:r>
        <w:rPr>
          <w:rFonts w:hint="eastAsia"/>
        </w:rPr>
        <w:t>非评定分离项目</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64"/>
        <w:gridCol w:w="42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4" w:type="dxa"/>
          </w:tcPr>
          <w:p>
            <w:pPr>
              <w:jc w:val="center"/>
            </w:pPr>
            <w:bookmarkStart w:id="13" w:name="_Hlk74239733"/>
            <w:r>
              <w:rPr>
                <w:rFonts w:hint="eastAsia"/>
              </w:rPr>
              <w:t>评标方法</w:t>
            </w:r>
          </w:p>
        </w:tc>
        <w:tc>
          <w:tcPr>
            <w:tcW w:w="4265" w:type="dxa"/>
          </w:tcPr>
          <w:p>
            <w:pPr>
              <w:jc w:val="center"/>
            </w:pPr>
            <w:r>
              <w:rPr>
                <w:rFonts w:hint="eastAsia"/>
              </w:rPr>
              <w:t>综合评分法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4" w:type="dxa"/>
          </w:tcPr>
          <w:p>
            <w:pPr>
              <w:jc w:val="center"/>
            </w:pPr>
            <w:r>
              <w:rPr>
                <w:rFonts w:hint="eastAsia"/>
              </w:rPr>
              <w:t>候选中标供应商家数</w:t>
            </w:r>
          </w:p>
        </w:tc>
        <w:tc>
          <w:tcPr>
            <w:tcW w:w="4265" w:type="dxa"/>
          </w:tcPr>
          <w:p>
            <w:pPr>
              <w:jc w:val="center"/>
            </w:pPr>
            <w:r>
              <w:rPr>
                <w:rFonts w:hint="eastAsia"/>
                <w:highlight w:val="yellow"/>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4" w:type="dxa"/>
          </w:tcPr>
          <w:p>
            <w:pPr>
              <w:jc w:val="center"/>
            </w:pPr>
            <w:r>
              <w:rPr>
                <w:rFonts w:hint="eastAsia"/>
              </w:rPr>
              <w:t>中标供应商家数</w:t>
            </w:r>
          </w:p>
        </w:tc>
        <w:tc>
          <w:tcPr>
            <w:tcW w:w="4265" w:type="dxa"/>
          </w:tcPr>
          <w:p>
            <w:pPr>
              <w:jc w:val="center"/>
            </w:pPr>
            <w:r>
              <w:rPr>
                <w:rFonts w:hint="eastAsia"/>
              </w:rPr>
              <w:t>1</w:t>
            </w:r>
          </w:p>
        </w:tc>
      </w:tr>
      <w:bookmarkEnd w:id="13"/>
    </w:tbl>
    <w:p>
      <w:pPr>
        <w:tabs>
          <w:tab w:val="left" w:pos="720"/>
        </w:tabs>
        <w:rPr>
          <w:rFonts w:ascii="黑体" w:hAnsi="宋体" w:eastAsia="黑体"/>
          <w:bCs/>
          <w:sz w:val="24"/>
        </w:rPr>
      </w:pPr>
    </w:p>
    <w:p>
      <w:pPr>
        <w:tabs>
          <w:tab w:val="left" w:pos="720"/>
        </w:tabs>
        <w:rPr>
          <w:rFonts w:ascii="黑体" w:hAnsi="宋体" w:eastAsia="黑体"/>
          <w:bCs/>
          <w:sz w:val="24"/>
        </w:rPr>
      </w:pPr>
    </w:p>
    <w:p>
      <w:pPr>
        <w:tabs>
          <w:tab w:val="left" w:pos="720"/>
        </w:tabs>
        <w:rPr>
          <w:rFonts w:ascii="黑体" w:hAnsi="宋体" w:eastAsia="黑体"/>
          <w:bCs/>
          <w:sz w:val="24"/>
        </w:rPr>
      </w:pPr>
      <w:r>
        <w:rPr>
          <w:rFonts w:hint="eastAsia" w:ascii="黑体" w:hAnsi="宋体" w:eastAsia="黑体"/>
          <w:bCs/>
          <w:sz w:val="24"/>
        </w:rPr>
        <w:t>2、关于包组的定义</w:t>
      </w:r>
    </w:p>
    <w:p>
      <w:pPr>
        <w:tabs>
          <w:tab w:val="left" w:pos="720"/>
        </w:tabs>
        <w:ind w:firstLine="420" w:firstLineChars="200"/>
        <w:rPr>
          <w:rFonts w:ascii="宋体" w:hAnsi="宋体"/>
        </w:rPr>
      </w:pPr>
      <w:r>
        <w:rPr>
          <w:rFonts w:hint="eastAsia" w:ascii="宋体" w:hAnsi="宋体"/>
        </w:rPr>
        <w:t>本招标文件中的“包”是最小的“标的单位”，投标人可对本“招标文件”中所列的所有货物或服务项进行投标，投标人可只对其中一个包或几个包货物或服务内容进行投标（如有的话），但不得将一个包中的内容拆开投标，否则将导致其投标被拒绝。某一包组投标截止时投标人不足三家，或有效投标少于三家，该包组废标，对该包组重新招标或采用其它方式采购。某一包组中标供应商放弃中标资格的，或者中标供应商的中标资格被依法确认无效的，根据实际情况按相关法律规定处理，该包组中标结果改变不影响其他包组结果。</w:t>
      </w:r>
    </w:p>
    <w:p>
      <w:pPr>
        <w:tabs>
          <w:tab w:val="left" w:pos="720"/>
        </w:tabs>
        <w:rPr>
          <w:rFonts w:ascii="黑体" w:hAnsi="宋体" w:eastAsia="黑体"/>
          <w:sz w:val="24"/>
        </w:rPr>
      </w:pPr>
      <w:r>
        <w:rPr>
          <w:rFonts w:hint="eastAsia" w:ascii="黑体" w:hAnsi="宋体" w:eastAsia="黑体"/>
          <w:sz w:val="24"/>
        </w:rPr>
        <w:t>3、关于涉及采取随机抽取方式确定中标候选人（候选中标供应商）的规则</w:t>
      </w:r>
    </w:p>
    <w:p>
      <w:pPr>
        <w:tabs>
          <w:tab w:val="left" w:pos="720"/>
        </w:tabs>
        <w:ind w:firstLine="420" w:firstLineChars="200"/>
        <w:rPr>
          <w:rFonts w:ascii="宋体" w:hAnsi="宋体"/>
        </w:rPr>
      </w:pPr>
      <w:r>
        <w:rPr>
          <w:rFonts w:hint="eastAsia" w:ascii="宋体" w:hAnsi="宋体"/>
        </w:rPr>
        <w:t>（1）采购人代表从1-50号球中抽取一个球：抽到01-25号范围内的球，则抽签号码最小的投标人中签；抽到26-50号范围内的球，则抽签号码最大的投标人中签。各投标人按照《综合得分表》顺序依次抽签。如出现两家或以上投标人最大</w:t>
      </w:r>
      <w:r>
        <w:rPr>
          <w:rFonts w:hint="eastAsia" w:ascii="宋体" w:hAnsi="宋体"/>
          <w:szCs w:val="21"/>
        </w:rPr>
        <w:t>、小</w:t>
      </w:r>
      <w:r>
        <w:rPr>
          <w:rFonts w:hint="eastAsia" w:ascii="宋体" w:hAnsi="宋体"/>
        </w:rPr>
        <w:t>且同号的情况，则对同号的投标人重新摇签确定中签。抽签过程中遇抽签机器卡球的，被卡球方当轮重新抽签。</w:t>
      </w:r>
    </w:p>
    <w:p>
      <w:pPr>
        <w:ind w:firstLine="470" w:firstLineChars="196"/>
        <w:rPr>
          <w:rFonts w:ascii="宋体" w:hAnsi="宋体"/>
          <w:szCs w:val="21"/>
        </w:rPr>
      </w:pPr>
      <w:r>
        <w:rPr>
          <w:rFonts w:hint="eastAsia" w:ascii="黑体" w:hAnsi="宋体" w:eastAsia="黑体"/>
          <w:sz w:val="24"/>
        </w:rPr>
        <w:t>备注：</w:t>
      </w:r>
      <w:r>
        <w:rPr>
          <w:rFonts w:hint="eastAsia" w:ascii="宋体" w:hAnsi="宋体"/>
          <w:szCs w:val="21"/>
        </w:rPr>
        <w:t>（a）建议各投标供应商代表于本项目开标时间起60分钟内到达招标机构服务大厅等候抽签，如抽签程序启动时投标供应商代表未到达，该投标供应商视为自动授权本项目评审委员会代其执行抽签，投标供应商自行承担由此产生的后果。（b）各投标供应商应派法定代表人或投标文件授权的投标代理人作为代表（携带本人身份证）参与本项目抽签,如委派其他人员抽签的,须携带本人身份证、本公司法定代表人授权证明书到现场核验身份。未能按要求提供证明材料的，该投标供应商视为自动授权本项目评审委员会代其执行抽签，投标供应商自行承担由此产生的后果。</w:t>
      </w:r>
    </w:p>
    <w:p>
      <w:pPr>
        <w:ind w:firstLine="420" w:firstLineChars="200"/>
        <w:rPr>
          <w:rFonts w:ascii="宋体" w:hAnsi="宋体"/>
          <w:szCs w:val="21"/>
        </w:rPr>
      </w:pPr>
      <w:r>
        <w:rPr>
          <w:rFonts w:hint="eastAsia" w:ascii="宋体" w:hAnsi="宋体"/>
          <w:szCs w:val="21"/>
        </w:rPr>
        <w:t>（2）评定分离项目如涉及采取抽签方式确定候选中标供应商：（a）排名第一超过三家，则排名第一的投标人中抽签号码最大、小的三家依次入围；（b）排名第一为两家，直接入围，排名第二的超过一家，则排名第二的投标人中抽签号码最大、小的一家入围；（c）排名第一为一家，直接入围，排名第二的超过两家，则排名第二的投标人中抽签号码最大、小的两家依次入围；（d）排名第一与排名第二均为一家，直接入围，排名第三的超过一家，则排名第三的投标人中抽签号码最大、小的一家入围；（e）如确定入围或依次确定入围时出现同号的投标人数量超出拟确定的候选中标供应商差额数量的，则对同号的投标人重新摇签确定入围。</w:t>
      </w:r>
    </w:p>
    <w:p>
      <w:pPr>
        <w:tabs>
          <w:tab w:val="left" w:pos="720"/>
        </w:tabs>
        <w:rPr>
          <w:rFonts w:ascii="黑体" w:hAnsi="宋体" w:eastAsia="黑体"/>
          <w:sz w:val="24"/>
        </w:rPr>
      </w:pPr>
    </w:p>
    <w:p>
      <w:pPr>
        <w:tabs>
          <w:tab w:val="left" w:pos="720"/>
        </w:tabs>
        <w:rPr>
          <w:rFonts w:ascii="黑体" w:hAnsi="宋体" w:eastAsia="黑体"/>
          <w:sz w:val="24"/>
        </w:rPr>
      </w:pPr>
      <w:r>
        <w:rPr>
          <w:rFonts w:hint="eastAsia" w:ascii="黑体" w:hAnsi="宋体" w:eastAsia="黑体"/>
          <w:sz w:val="24"/>
        </w:rPr>
        <w:t>（二）其他事项</w:t>
      </w:r>
    </w:p>
    <w:p>
      <w:pPr>
        <w:tabs>
          <w:tab w:val="left" w:pos="720"/>
        </w:tabs>
        <w:rPr>
          <w:rFonts w:ascii="黑体" w:hAnsi="宋体" w:eastAsia="黑体"/>
          <w:sz w:val="24"/>
        </w:rPr>
      </w:pPr>
      <w:r>
        <w:rPr>
          <w:rFonts w:hint="eastAsia" w:ascii="黑体" w:hAnsi="宋体" w:eastAsia="黑体"/>
          <w:sz w:val="24"/>
        </w:rPr>
        <w:t>1、关于享受优惠政策的主体及价格扣除比例</w:t>
      </w:r>
    </w:p>
    <w:p>
      <w:pPr>
        <w:ind w:firstLine="411" w:firstLineChars="196"/>
        <w:rPr>
          <w:rFonts w:ascii="Arial" w:hAnsi="Arial" w:eastAsia="宋体" w:cs="Times New Roman"/>
          <w:b/>
          <w:color w:val="0000FF"/>
          <w:szCs w:val="21"/>
        </w:rPr>
      </w:pPr>
      <w:r>
        <w:rPr>
          <w:rFonts w:hint="eastAsia" w:ascii="宋体" w:hAnsi="宋体"/>
        </w:rPr>
        <w:t>（1）投标人提供的服务（以招标文件用户需求书“服务需求明细”的“服务需求名称”一栏为准）全部均由优惠主体承接的，对其投标总价给予</w:t>
      </w:r>
      <w:r>
        <w:rPr>
          <w:rFonts w:hint="eastAsia" w:ascii="宋体" w:hAnsi="宋体" w:eastAsia="宋体" w:cs="Times New Roman"/>
          <w:b/>
          <w:sz w:val="24"/>
          <w:szCs w:val="24"/>
          <w:highlight w:val="yellow"/>
          <w:u w:val="single"/>
        </w:rPr>
        <w:t>10%</w:t>
      </w:r>
      <w:r>
        <w:rPr>
          <w:rFonts w:hint="eastAsia" w:ascii="宋体" w:hAnsi="宋体"/>
        </w:rPr>
        <w:t>的扣除，用扣除后的价格参与评审。满足多项优惠政策的企业，不重复享受多项价格扣除政策。接受联合体投标的项目，如供应商为联合体参与投标，联合体共同投标协议中明确注明</w:t>
      </w:r>
      <w:r>
        <w:rPr>
          <w:rFonts w:ascii="宋体" w:hAnsi="宋体"/>
        </w:rPr>
        <w:t>约定优惠主体的协议合同金额占到联合体协议总金额</w:t>
      </w:r>
      <w:r>
        <w:rPr>
          <w:rFonts w:ascii="宋体" w:hAnsi="宋体"/>
          <w:b/>
        </w:rPr>
        <w:t>30%</w:t>
      </w:r>
      <w:r>
        <w:rPr>
          <w:rFonts w:ascii="宋体" w:hAnsi="宋体"/>
        </w:rPr>
        <w:t>以上的，</w:t>
      </w:r>
      <w:r>
        <w:rPr>
          <w:rFonts w:hint="eastAsia" w:ascii="宋体" w:hAnsi="宋体"/>
        </w:rPr>
        <w:t>对该联合体的投标总价给予</w:t>
      </w:r>
      <w:r>
        <w:rPr>
          <w:rFonts w:hint="eastAsia" w:ascii="宋体" w:hAnsi="宋体"/>
          <w:b/>
          <w:bCs/>
          <w:highlight w:val="yellow"/>
          <w:u w:val="single"/>
        </w:rPr>
        <w:t xml:space="preserve"> 4 </w:t>
      </w:r>
      <w:r>
        <w:rPr>
          <w:rFonts w:ascii="宋体" w:hAnsi="宋体"/>
          <w:b/>
          <w:bCs/>
          <w:highlight w:val="yellow"/>
        </w:rPr>
        <w:t>%</w:t>
      </w:r>
      <w:r>
        <w:rPr>
          <w:rFonts w:hint="eastAsia" w:ascii="宋体" w:hAnsi="宋体"/>
        </w:rPr>
        <w:t>的扣除，用扣除后的价格参与评审。联合体各方均为优惠主体的，该联合体视同为优惠主体，按前款规定享受评标优惠政策。</w:t>
      </w:r>
      <w:r>
        <w:rPr>
          <w:rFonts w:hint="eastAsia" w:ascii="Arial" w:hAnsi="Arial" w:eastAsia="宋体" w:cs="Times New Roman"/>
          <w:b/>
          <w:szCs w:val="21"/>
        </w:rPr>
        <w:t>政策调整后价格仅作为评审依据，不作为中标价格。</w:t>
      </w:r>
    </w:p>
    <w:p>
      <w:pPr>
        <w:ind w:firstLine="420" w:firstLineChars="200"/>
        <w:rPr>
          <w:rFonts w:asciiTheme="minorEastAsia" w:hAnsiTheme="minorEastAsia" w:cstheme="minorEastAsia"/>
          <w:szCs w:val="21"/>
        </w:rPr>
      </w:pPr>
      <w:r>
        <w:rPr>
          <w:rFonts w:hint="eastAsia" w:asciiTheme="minorEastAsia" w:hAnsiTheme="minorEastAsia" w:cstheme="minorEastAsia"/>
          <w:szCs w:val="21"/>
        </w:rPr>
        <w:t>备注：</w:t>
      </w:r>
      <w:r>
        <w:rPr>
          <w:rFonts w:hint="eastAsia"/>
          <w:b/>
          <w:bCs/>
        </w:rPr>
        <w:t>（a）</w:t>
      </w:r>
      <w:r>
        <w:rPr>
          <w:rFonts w:hint="eastAsia"/>
        </w:rPr>
        <w:t>优惠主体包括小型企业、微型企业、监狱企业、残疾人福利性单位；中小企业是指在中华人民共和国境内依法设立，依据国务院批准的中小企业划分标准确定的中型企业、小型企业、微型企业，但与大企业的负责人为同一人，或者与大企业存在直接控股、管理关系的除外；符合中小企业划分标准的个体工商户，在政府采购活动中视同中小企业；</w:t>
      </w:r>
      <w:r>
        <w:rPr>
          <w:rFonts w:hint="eastAsia" w:ascii="宋体" w:hAnsi="宋体"/>
        </w:rPr>
        <w:t>根据《财政部 司法部关于政府采购支持监狱企业发展有关问题的通知》(财库〔2014〕68号)，在政府采购活动中，监狱企业视同小型、微型企业；根据《关于促进残疾人就业政府采购政策的通知》(财库〔2017〕141号)，在政府采购活动中，残疾人福利性单位视同小型、微型企业；</w:t>
      </w:r>
      <w:r>
        <w:rPr>
          <w:rFonts w:hint="eastAsia"/>
          <w:b/>
          <w:bCs/>
        </w:rPr>
        <w:t>（b）</w:t>
      </w:r>
      <w:r>
        <w:rPr>
          <w:rFonts w:hint="eastAsia"/>
        </w:rPr>
        <w:t>优惠主体承接是指提供服务的人员为中小企业依照《中华人民共和国劳动合同法》订立劳动合同的从业人员。</w:t>
      </w:r>
    </w:p>
    <w:p>
      <w:pPr>
        <w:ind w:firstLine="420" w:firstLineChars="200"/>
        <w:rPr>
          <w:rFonts w:asciiTheme="minorEastAsia" w:hAnsiTheme="minorEastAsia" w:cstheme="minorEastAsia"/>
          <w:szCs w:val="21"/>
        </w:rPr>
      </w:pPr>
      <w:r>
        <w:rPr>
          <w:rFonts w:hint="eastAsia" w:asciiTheme="minorEastAsia" w:hAnsiTheme="minorEastAsia" w:cstheme="minorEastAsia"/>
          <w:szCs w:val="21"/>
        </w:rPr>
        <w:t>（2）</w:t>
      </w:r>
      <w:bookmarkStart w:id="14" w:name="_Hlk71970739"/>
      <w:r>
        <w:rPr>
          <w:rFonts w:hint="eastAsia"/>
        </w:rPr>
        <w:t>根据《工业和信息化部、国家统计局、国家发展和改革委员会、财政部关于印发中小企业划型标准规定的通知》（工信部联企业〔2011〕300 号）、</w:t>
      </w:r>
      <w:r>
        <w:rPr>
          <w:rFonts w:hint="eastAsia" w:ascii="宋体" w:hAnsi="宋体"/>
          <w:bCs/>
        </w:rPr>
        <w:t>《</w:t>
      </w:r>
      <w:r>
        <w:rPr>
          <w:rFonts w:ascii="宋体" w:hAnsi="宋体"/>
          <w:bCs/>
        </w:rPr>
        <w:t>统计上大中小微型企业划分办法（2017）</w:t>
      </w:r>
      <w:r>
        <w:rPr>
          <w:rFonts w:hint="eastAsia" w:ascii="宋体" w:hAnsi="宋体"/>
          <w:bCs/>
        </w:rPr>
        <w:t>》（国统字〔2017〕213 号）</w:t>
      </w:r>
      <w:r>
        <w:rPr>
          <w:rFonts w:hint="eastAsia"/>
        </w:rPr>
        <w:t>、</w:t>
      </w:r>
      <w:r>
        <w:rPr>
          <w:rFonts w:hint="eastAsia" w:ascii="宋体" w:hAnsi="宋体" w:eastAsia="宋体" w:cs="宋体"/>
          <w:kern w:val="0"/>
          <w:sz w:val="24"/>
          <w:szCs w:val="24"/>
        </w:rPr>
        <w:t>《金融业企业划型标准规定》（银发〔2015〕309号）</w:t>
      </w:r>
      <w:r>
        <w:rPr>
          <w:rFonts w:hint="eastAsia" w:ascii="宋体" w:hAnsi="宋体"/>
          <w:bCs/>
        </w:rPr>
        <w:t>或国务院批准的其他中小企业划分标准文件</w:t>
      </w:r>
      <w:r>
        <w:rPr>
          <w:rFonts w:hint="eastAsia"/>
        </w:rPr>
        <w:t>，本项目</w:t>
      </w:r>
      <w:bookmarkStart w:id="15" w:name="_Hlk71924718"/>
      <w:r>
        <w:rPr>
          <w:rFonts w:hint="eastAsia"/>
        </w:rPr>
        <w:t>采购标的（服务需求）对应的中小企业划分标准所属行业</w:t>
      </w:r>
      <w:bookmarkEnd w:id="15"/>
      <w:r>
        <w:rPr>
          <w:rFonts w:hint="eastAsia"/>
        </w:rPr>
        <w:t>为</w:t>
      </w:r>
      <w:r>
        <w:rPr>
          <w:rFonts w:hint="eastAsia" w:asciiTheme="minorEastAsia" w:hAnsiTheme="minorEastAsia" w:cstheme="minorEastAsia"/>
          <w:b/>
          <w:bCs/>
          <w:color w:val="FF0000"/>
          <w:sz w:val="24"/>
          <w:szCs w:val="24"/>
          <w:u w:val="single"/>
        </w:rPr>
        <w:t>其他未列明行业</w:t>
      </w:r>
      <w:r>
        <w:rPr>
          <w:rFonts w:hint="eastAsia" w:asciiTheme="minorEastAsia" w:hAnsiTheme="minorEastAsia" w:cstheme="minorEastAsia"/>
          <w:szCs w:val="21"/>
        </w:rPr>
        <w:t>。</w:t>
      </w:r>
      <w:bookmarkEnd w:id="14"/>
    </w:p>
    <w:p>
      <w:pPr>
        <w:ind w:firstLine="420" w:firstLineChars="200"/>
        <w:rPr>
          <w:rFonts w:asciiTheme="minorEastAsia" w:hAnsiTheme="minorEastAsia" w:cstheme="minorEastAsia"/>
          <w:szCs w:val="21"/>
        </w:rPr>
      </w:pPr>
      <w:r>
        <w:rPr>
          <w:rFonts w:hint="eastAsia" w:asciiTheme="minorEastAsia" w:hAnsiTheme="minorEastAsia" w:cstheme="minorEastAsia"/>
          <w:szCs w:val="21"/>
        </w:rPr>
        <w:t>（3）</w:t>
      </w:r>
      <w:r>
        <w:rPr>
          <w:rFonts w:hint="eastAsia"/>
        </w:rPr>
        <w:t>小型企业、微型企业、残疾人福利性单位作为优惠主体的认定资料为《中小企业声明函》、《残疾人福利性单位声明函》；监狱企业作为优惠主体的认定资料为省级以上监狱管理局、戒毒管理局出具的监狱企业证明文件。</w:t>
      </w:r>
    </w:p>
    <w:p>
      <w:pPr>
        <w:ind w:firstLine="420" w:firstLineChars="200"/>
        <w:rPr>
          <w:rFonts w:asciiTheme="minorEastAsia" w:hAnsiTheme="minorEastAsia" w:cstheme="minorEastAsia"/>
          <w:szCs w:val="21"/>
        </w:rPr>
      </w:pPr>
      <w:r>
        <w:rPr>
          <w:rFonts w:hint="eastAsia" w:asciiTheme="minorEastAsia" w:hAnsiTheme="minorEastAsia" w:cstheme="minorEastAsia"/>
          <w:szCs w:val="21"/>
        </w:rPr>
        <w:t>（4）享受价格扣除获得政府采购合同的，小微企业不得将合同分包给大中型企业。</w:t>
      </w:r>
    </w:p>
    <w:p>
      <w:pPr>
        <w:tabs>
          <w:tab w:val="left" w:pos="720"/>
        </w:tabs>
        <w:ind w:firstLine="420" w:firstLineChars="200"/>
        <w:rPr>
          <w:rFonts w:ascii="宋体" w:hAnsi="宋体"/>
          <w:bCs/>
        </w:rPr>
      </w:pPr>
    </w:p>
    <w:p>
      <w:pPr>
        <w:ind w:firstLine="420" w:firstLineChars="200"/>
        <w:rPr>
          <w:rFonts w:asciiTheme="minorEastAsia" w:hAnsiTheme="minorEastAsia" w:cstheme="minorEastAsia"/>
          <w:szCs w:val="21"/>
        </w:rPr>
      </w:pPr>
    </w:p>
    <w:p>
      <w:pPr>
        <w:spacing w:line="360" w:lineRule="auto"/>
        <w:rPr>
          <w:rFonts w:ascii="宋体" w:hAnsi="宋体" w:eastAsia="宋体" w:cs="宋体"/>
          <w:b/>
          <w:bCs/>
          <w:szCs w:val="24"/>
        </w:rPr>
      </w:pPr>
      <w:r>
        <w:rPr>
          <w:rFonts w:hint="eastAsia" w:ascii="宋体" w:hAnsi="宋体" w:eastAsia="宋体" w:cs="宋体"/>
          <w:b/>
          <w:bCs/>
          <w:szCs w:val="24"/>
        </w:rPr>
        <w:t>2.关于政府采购订单融资政策</w:t>
      </w:r>
    </w:p>
    <w:p>
      <w:pPr>
        <w:ind w:firstLine="420" w:firstLineChars="200"/>
        <w:rPr>
          <w:rFonts w:ascii="宋体" w:hAnsi="宋体" w:eastAsia="宋体" w:cs="Times New Roman"/>
          <w:b/>
          <w:szCs w:val="24"/>
        </w:rPr>
      </w:pPr>
      <w:r>
        <w:rPr>
          <w:rFonts w:hint="eastAsia" w:ascii="Times New Roman" w:hAnsi="Times New Roman" w:eastAsia="宋体" w:cs="Times New Roman"/>
          <w:color w:val="FF0000"/>
          <w:szCs w:val="24"/>
        </w:rPr>
        <w:t>为深入贯彻落实国家深化政府采购制度改革精神，充分发挥政府采购扶持中小企业发展的政策功能，缓解中小微企业融资难、融资贵的问题，根据《深圳市财政局关于加大力度运用政府采购订单融资政策支持企业发展的通知》要求，参与深圳市政府采购活动供应商可凭借所获取的深圳市政府采购中标通知书与采购合同，向参与订单融资业务的金融机构提出融资申请，金融机构以各自信贷政策为基础，为中标（成交）供应商提供融资授信，订单融资具体流程可登录深圳要素交易金融服务平台（https://finance.szexgrp.com/gtm/web/guarantee/#/），相关政策法规参阅深圳市政府采购监管网（http://zfcg.sz.gov.cn/）信息公开栏目。</w:t>
      </w:r>
    </w:p>
    <w:p>
      <w:pPr>
        <w:tabs>
          <w:tab w:val="left" w:pos="720"/>
        </w:tabs>
        <w:rPr>
          <w:rFonts w:ascii="黑体" w:hAnsi="宋体" w:eastAsia="黑体"/>
          <w:sz w:val="24"/>
        </w:rPr>
      </w:pPr>
    </w:p>
    <w:p>
      <w:pPr>
        <w:tabs>
          <w:tab w:val="left" w:pos="720"/>
        </w:tabs>
        <w:rPr>
          <w:rFonts w:ascii="宋体" w:hAnsi="宋体"/>
          <w:b/>
          <w:bCs/>
          <w:color w:val="FF0000"/>
        </w:rPr>
      </w:pPr>
      <w:r>
        <w:rPr>
          <w:rFonts w:hint="eastAsia" w:ascii="宋体" w:hAnsi="宋体"/>
          <w:b/>
          <w:bCs/>
          <w:color w:val="FF0000"/>
        </w:rPr>
        <w:t>3、</w:t>
      </w:r>
      <w:r>
        <w:rPr>
          <w:rFonts w:ascii="宋体" w:hAnsi="宋体"/>
          <w:b/>
          <w:bCs/>
          <w:color w:val="FF0000"/>
        </w:rPr>
        <w:t>本项目为代理服务项目，将向中标供应商收取代理服务费</w:t>
      </w:r>
      <w:r>
        <w:rPr>
          <w:rFonts w:hint="eastAsia" w:ascii="宋体" w:hAnsi="宋体"/>
          <w:b/>
          <w:bCs/>
          <w:color w:val="FF0000"/>
        </w:rPr>
        <w:t>。</w:t>
      </w:r>
    </w:p>
    <w:p>
      <w:pPr>
        <w:widowControl/>
        <w:ind w:firstLine="420"/>
        <w:jc w:val="left"/>
        <w:rPr>
          <w:rFonts w:ascii="宋体" w:hAnsi="宋体"/>
          <w:color w:val="FF0000"/>
          <w:szCs w:val="21"/>
        </w:rPr>
      </w:pPr>
      <w:r>
        <w:rPr>
          <w:rFonts w:hint="eastAsia" w:ascii="宋体" w:hAnsi="宋体"/>
          <w:color w:val="FF0000"/>
          <w:szCs w:val="21"/>
        </w:rPr>
        <w:t>中标供应商在领取《中标通知书》之前须向深圳公共资源交易中心（深圳交易集团有限公司宝安分公司）交纳代理服务费。若因中标供应商交纳代理服务费所产生的时间影响到合同签订的，由中标供应商自行承担责任。代理服务费标准参照下列标准收取。本项目类型为</w:t>
      </w:r>
      <w:r>
        <w:rPr>
          <w:rFonts w:hint="eastAsia" w:ascii="宋体" w:hAnsi="宋体"/>
          <w:b/>
          <w:bCs/>
          <w:color w:val="FF0000"/>
          <w:szCs w:val="21"/>
          <w:u w:val="single"/>
        </w:rPr>
        <w:t>服务采购</w:t>
      </w:r>
      <w:r>
        <w:rPr>
          <w:rFonts w:hint="eastAsia" w:ascii="宋体" w:hAnsi="宋体"/>
          <w:color w:val="FF0000"/>
          <w:szCs w:val="21"/>
        </w:rPr>
        <w:t>：</w:t>
      </w:r>
    </w:p>
    <w:p>
      <w:pPr>
        <w:widowControl/>
        <w:ind w:firstLine="420"/>
        <w:jc w:val="left"/>
        <w:rPr>
          <w:rFonts w:ascii="宋体" w:hAnsi="宋体"/>
          <w:color w:val="FF0000"/>
          <w:szCs w:val="21"/>
        </w:rPr>
      </w:pPr>
      <w:r>
        <w:rPr>
          <w:rFonts w:hint="eastAsia" w:ascii="宋体" w:hAnsi="宋体"/>
          <w:color w:val="FF0000"/>
          <w:szCs w:val="21"/>
        </w:rPr>
        <w:t>（一）代理服务费以《中标通知书》确定的成交金额作为计算基数，按差额定率累进法计算。</w:t>
      </w:r>
    </w:p>
    <w:p>
      <w:pPr>
        <w:widowControl/>
        <w:ind w:firstLine="420"/>
        <w:jc w:val="left"/>
        <w:rPr>
          <w:rFonts w:ascii="宋体" w:hAnsi="宋体"/>
          <w:color w:val="FF0000"/>
          <w:szCs w:val="21"/>
        </w:rPr>
      </w:pPr>
      <w:r>
        <w:rPr>
          <w:rFonts w:hint="eastAsia" w:ascii="宋体" w:hAnsi="宋体"/>
          <w:color w:val="FF0000"/>
          <w:szCs w:val="21"/>
        </w:rPr>
        <w:t>（二）中标金额的各部分费率如下表：</w:t>
      </w:r>
    </w:p>
    <w:tbl>
      <w:tblPr>
        <w:tblStyle w:val="16"/>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25"/>
        <w:gridCol w:w="1799"/>
        <w:gridCol w:w="1799"/>
        <w:gridCol w:w="17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3125" w:type="dxa"/>
            <w:vAlign w:val="center"/>
          </w:tcPr>
          <w:p>
            <w:pPr>
              <w:widowControl/>
              <w:ind w:firstLine="420"/>
              <w:jc w:val="left"/>
              <w:rPr>
                <w:rFonts w:ascii="宋体" w:hAnsi="宋体"/>
                <w:color w:val="FF0000"/>
                <w:szCs w:val="21"/>
              </w:rPr>
            </w:pPr>
            <w:r>
              <w:rPr>
                <w:rFonts w:hint="eastAsia" w:ascii="宋体" w:hAnsi="宋体"/>
                <w:color w:val="FF0000"/>
                <w:szCs w:val="21"/>
              </w:rPr>
              <w:t>成交金额</w:t>
            </w:r>
          </w:p>
        </w:tc>
        <w:tc>
          <w:tcPr>
            <w:tcW w:w="1799" w:type="dxa"/>
            <w:vAlign w:val="center"/>
          </w:tcPr>
          <w:p>
            <w:pPr>
              <w:widowControl/>
              <w:ind w:firstLine="420"/>
              <w:jc w:val="left"/>
              <w:rPr>
                <w:rFonts w:ascii="宋体" w:hAnsi="宋体"/>
                <w:color w:val="FF0000"/>
                <w:szCs w:val="21"/>
              </w:rPr>
            </w:pPr>
            <w:r>
              <w:rPr>
                <w:rFonts w:hint="eastAsia" w:ascii="宋体" w:hAnsi="宋体"/>
                <w:color w:val="FF0000"/>
                <w:szCs w:val="21"/>
              </w:rPr>
              <w:t>货物采购</w:t>
            </w:r>
          </w:p>
        </w:tc>
        <w:tc>
          <w:tcPr>
            <w:tcW w:w="1799" w:type="dxa"/>
            <w:vAlign w:val="center"/>
          </w:tcPr>
          <w:p>
            <w:pPr>
              <w:widowControl/>
              <w:ind w:firstLine="420"/>
              <w:jc w:val="left"/>
              <w:rPr>
                <w:rFonts w:ascii="宋体" w:hAnsi="宋体"/>
                <w:color w:val="FF0000"/>
                <w:szCs w:val="21"/>
              </w:rPr>
            </w:pPr>
            <w:r>
              <w:rPr>
                <w:rFonts w:hint="eastAsia" w:ascii="宋体" w:hAnsi="宋体"/>
                <w:color w:val="FF0000"/>
                <w:szCs w:val="21"/>
              </w:rPr>
              <w:t>服务采购</w:t>
            </w:r>
          </w:p>
        </w:tc>
        <w:tc>
          <w:tcPr>
            <w:tcW w:w="1799" w:type="dxa"/>
            <w:vAlign w:val="center"/>
          </w:tcPr>
          <w:p>
            <w:pPr>
              <w:widowControl/>
              <w:ind w:firstLine="420"/>
              <w:jc w:val="left"/>
              <w:rPr>
                <w:rFonts w:ascii="宋体" w:hAnsi="宋体"/>
                <w:color w:val="FF0000"/>
                <w:szCs w:val="21"/>
              </w:rPr>
            </w:pPr>
            <w:r>
              <w:rPr>
                <w:rFonts w:hint="eastAsia" w:ascii="宋体" w:hAnsi="宋体"/>
                <w:color w:val="FF0000"/>
                <w:szCs w:val="21"/>
              </w:rPr>
              <w:t>工程采购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125" w:type="dxa"/>
            <w:vAlign w:val="center"/>
          </w:tcPr>
          <w:p>
            <w:pPr>
              <w:widowControl/>
              <w:ind w:firstLine="420"/>
              <w:jc w:val="left"/>
              <w:rPr>
                <w:rFonts w:ascii="宋体" w:hAnsi="宋体"/>
                <w:color w:val="FF0000"/>
                <w:szCs w:val="21"/>
              </w:rPr>
            </w:pPr>
            <w:r>
              <w:rPr>
                <w:rFonts w:hint="eastAsia" w:ascii="宋体" w:hAnsi="宋体"/>
                <w:color w:val="FF0000"/>
                <w:szCs w:val="21"/>
              </w:rPr>
              <w:t>100万元以下</w:t>
            </w:r>
          </w:p>
        </w:tc>
        <w:tc>
          <w:tcPr>
            <w:tcW w:w="1799" w:type="dxa"/>
            <w:vAlign w:val="center"/>
          </w:tcPr>
          <w:p>
            <w:pPr>
              <w:widowControl/>
              <w:ind w:firstLine="420"/>
              <w:jc w:val="left"/>
              <w:rPr>
                <w:rFonts w:ascii="宋体" w:hAnsi="宋体"/>
                <w:color w:val="FF0000"/>
                <w:szCs w:val="21"/>
              </w:rPr>
            </w:pPr>
            <w:r>
              <w:rPr>
                <w:rFonts w:hint="eastAsia" w:ascii="宋体" w:hAnsi="宋体"/>
                <w:color w:val="FF0000"/>
                <w:szCs w:val="21"/>
              </w:rPr>
              <w:t>1.5%</w:t>
            </w:r>
          </w:p>
        </w:tc>
        <w:tc>
          <w:tcPr>
            <w:tcW w:w="1799" w:type="dxa"/>
            <w:vAlign w:val="center"/>
          </w:tcPr>
          <w:p>
            <w:pPr>
              <w:widowControl/>
              <w:ind w:firstLine="420"/>
              <w:jc w:val="left"/>
              <w:rPr>
                <w:rFonts w:ascii="宋体" w:hAnsi="宋体"/>
                <w:color w:val="FF0000"/>
                <w:szCs w:val="21"/>
              </w:rPr>
            </w:pPr>
            <w:r>
              <w:rPr>
                <w:rFonts w:hint="eastAsia" w:ascii="宋体" w:hAnsi="宋体"/>
                <w:color w:val="FF0000"/>
                <w:szCs w:val="21"/>
              </w:rPr>
              <w:t>1.5%</w:t>
            </w:r>
          </w:p>
        </w:tc>
        <w:tc>
          <w:tcPr>
            <w:tcW w:w="1799" w:type="dxa"/>
            <w:vAlign w:val="center"/>
          </w:tcPr>
          <w:p>
            <w:pPr>
              <w:widowControl/>
              <w:ind w:firstLine="420"/>
              <w:jc w:val="left"/>
              <w:rPr>
                <w:rFonts w:ascii="宋体" w:hAnsi="宋体"/>
                <w:color w:val="FF0000"/>
                <w:szCs w:val="21"/>
              </w:rPr>
            </w:pPr>
            <w:r>
              <w:rPr>
                <w:rFonts w:hint="eastAsia" w:ascii="宋体" w:hAnsi="宋体"/>
                <w:color w:val="FF0000"/>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125" w:type="dxa"/>
            <w:vAlign w:val="center"/>
          </w:tcPr>
          <w:p>
            <w:pPr>
              <w:widowControl/>
              <w:ind w:firstLine="420"/>
              <w:jc w:val="left"/>
              <w:rPr>
                <w:rFonts w:ascii="宋体" w:hAnsi="宋体"/>
                <w:color w:val="FF0000"/>
                <w:szCs w:val="21"/>
              </w:rPr>
            </w:pPr>
            <w:r>
              <w:rPr>
                <w:rFonts w:hint="eastAsia" w:ascii="宋体" w:hAnsi="宋体"/>
                <w:color w:val="FF0000"/>
                <w:szCs w:val="21"/>
              </w:rPr>
              <w:t>100万元（含）-500万元</w:t>
            </w:r>
          </w:p>
        </w:tc>
        <w:tc>
          <w:tcPr>
            <w:tcW w:w="1799" w:type="dxa"/>
            <w:vAlign w:val="center"/>
          </w:tcPr>
          <w:p>
            <w:pPr>
              <w:widowControl/>
              <w:ind w:firstLine="420"/>
              <w:jc w:val="left"/>
              <w:rPr>
                <w:rFonts w:ascii="宋体" w:hAnsi="宋体"/>
                <w:color w:val="FF0000"/>
                <w:szCs w:val="21"/>
              </w:rPr>
            </w:pPr>
            <w:r>
              <w:rPr>
                <w:rFonts w:hint="eastAsia" w:ascii="宋体" w:hAnsi="宋体"/>
                <w:color w:val="FF0000"/>
                <w:szCs w:val="21"/>
              </w:rPr>
              <w:t>1.1%</w:t>
            </w:r>
          </w:p>
        </w:tc>
        <w:tc>
          <w:tcPr>
            <w:tcW w:w="1799" w:type="dxa"/>
            <w:vAlign w:val="center"/>
          </w:tcPr>
          <w:p>
            <w:pPr>
              <w:widowControl/>
              <w:ind w:firstLine="420"/>
              <w:jc w:val="left"/>
              <w:rPr>
                <w:rFonts w:ascii="宋体" w:hAnsi="宋体"/>
                <w:color w:val="FF0000"/>
                <w:szCs w:val="21"/>
              </w:rPr>
            </w:pPr>
            <w:r>
              <w:rPr>
                <w:rFonts w:hint="eastAsia" w:ascii="宋体" w:hAnsi="宋体"/>
                <w:color w:val="FF0000"/>
                <w:szCs w:val="21"/>
              </w:rPr>
              <w:t>0.8%</w:t>
            </w:r>
          </w:p>
        </w:tc>
        <w:tc>
          <w:tcPr>
            <w:tcW w:w="1799" w:type="dxa"/>
            <w:vAlign w:val="center"/>
          </w:tcPr>
          <w:p>
            <w:pPr>
              <w:widowControl/>
              <w:ind w:firstLine="420"/>
              <w:jc w:val="left"/>
              <w:rPr>
                <w:rFonts w:ascii="宋体" w:hAnsi="宋体"/>
                <w:color w:val="FF0000"/>
                <w:szCs w:val="21"/>
              </w:rPr>
            </w:pPr>
            <w:r>
              <w:rPr>
                <w:rFonts w:hint="eastAsia" w:ascii="宋体" w:hAnsi="宋体"/>
                <w:color w:val="FF0000"/>
                <w:szCs w:val="21"/>
              </w:rPr>
              <w:t>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125" w:type="dxa"/>
            <w:vAlign w:val="center"/>
          </w:tcPr>
          <w:p>
            <w:pPr>
              <w:widowControl/>
              <w:ind w:firstLine="420"/>
              <w:jc w:val="left"/>
              <w:rPr>
                <w:rFonts w:ascii="宋体" w:hAnsi="宋体"/>
                <w:color w:val="FF0000"/>
                <w:szCs w:val="21"/>
              </w:rPr>
            </w:pPr>
            <w:r>
              <w:rPr>
                <w:rFonts w:hint="eastAsia" w:ascii="宋体" w:hAnsi="宋体"/>
                <w:color w:val="FF0000"/>
                <w:szCs w:val="21"/>
              </w:rPr>
              <w:t>500万元（含）-1000万元</w:t>
            </w:r>
          </w:p>
        </w:tc>
        <w:tc>
          <w:tcPr>
            <w:tcW w:w="1799" w:type="dxa"/>
            <w:vAlign w:val="center"/>
          </w:tcPr>
          <w:p>
            <w:pPr>
              <w:widowControl/>
              <w:ind w:firstLine="420"/>
              <w:jc w:val="left"/>
              <w:rPr>
                <w:rFonts w:ascii="宋体" w:hAnsi="宋体"/>
                <w:color w:val="FF0000"/>
                <w:szCs w:val="21"/>
              </w:rPr>
            </w:pPr>
            <w:r>
              <w:rPr>
                <w:rFonts w:hint="eastAsia" w:ascii="宋体" w:hAnsi="宋体"/>
                <w:color w:val="FF0000"/>
                <w:szCs w:val="21"/>
              </w:rPr>
              <w:t>0.8%</w:t>
            </w:r>
          </w:p>
        </w:tc>
        <w:tc>
          <w:tcPr>
            <w:tcW w:w="1799" w:type="dxa"/>
            <w:vAlign w:val="center"/>
          </w:tcPr>
          <w:p>
            <w:pPr>
              <w:widowControl/>
              <w:ind w:firstLine="420"/>
              <w:jc w:val="left"/>
              <w:rPr>
                <w:rFonts w:ascii="宋体" w:hAnsi="宋体"/>
                <w:color w:val="FF0000"/>
                <w:szCs w:val="21"/>
              </w:rPr>
            </w:pPr>
            <w:r>
              <w:rPr>
                <w:rFonts w:hint="eastAsia" w:ascii="宋体" w:hAnsi="宋体"/>
                <w:color w:val="FF0000"/>
                <w:szCs w:val="21"/>
              </w:rPr>
              <w:t>0.45%</w:t>
            </w:r>
          </w:p>
        </w:tc>
        <w:tc>
          <w:tcPr>
            <w:tcW w:w="1799" w:type="dxa"/>
            <w:vAlign w:val="center"/>
          </w:tcPr>
          <w:p>
            <w:pPr>
              <w:widowControl/>
              <w:ind w:firstLine="420"/>
              <w:jc w:val="left"/>
              <w:rPr>
                <w:rFonts w:ascii="宋体" w:hAnsi="宋体"/>
                <w:color w:val="FF0000"/>
                <w:szCs w:val="21"/>
              </w:rPr>
            </w:pPr>
            <w:r>
              <w:rPr>
                <w:rFonts w:hint="eastAsia" w:ascii="宋体" w:hAnsi="宋体"/>
                <w:color w:val="FF0000"/>
                <w:szCs w:val="21"/>
              </w:rPr>
              <w:t>0.55%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125" w:type="dxa"/>
            <w:vAlign w:val="center"/>
          </w:tcPr>
          <w:p>
            <w:pPr>
              <w:widowControl/>
              <w:ind w:firstLine="420"/>
              <w:jc w:val="left"/>
              <w:rPr>
                <w:rFonts w:ascii="宋体" w:hAnsi="宋体"/>
                <w:color w:val="FF0000"/>
                <w:szCs w:val="21"/>
              </w:rPr>
            </w:pPr>
            <w:r>
              <w:rPr>
                <w:rFonts w:hint="eastAsia" w:ascii="宋体" w:hAnsi="宋体"/>
                <w:color w:val="FF0000"/>
                <w:szCs w:val="21"/>
              </w:rPr>
              <w:t>1000万元（含）-5000万元</w:t>
            </w:r>
          </w:p>
        </w:tc>
        <w:tc>
          <w:tcPr>
            <w:tcW w:w="1799" w:type="dxa"/>
            <w:vAlign w:val="center"/>
          </w:tcPr>
          <w:p>
            <w:pPr>
              <w:widowControl/>
              <w:ind w:firstLine="420"/>
              <w:jc w:val="left"/>
              <w:rPr>
                <w:rFonts w:ascii="宋体" w:hAnsi="宋体"/>
                <w:color w:val="FF0000"/>
                <w:szCs w:val="21"/>
              </w:rPr>
            </w:pPr>
            <w:r>
              <w:rPr>
                <w:rFonts w:hint="eastAsia" w:ascii="宋体" w:hAnsi="宋体"/>
                <w:color w:val="FF0000"/>
                <w:szCs w:val="21"/>
              </w:rPr>
              <w:t>0.5%</w:t>
            </w:r>
          </w:p>
        </w:tc>
        <w:tc>
          <w:tcPr>
            <w:tcW w:w="1799" w:type="dxa"/>
            <w:vAlign w:val="center"/>
          </w:tcPr>
          <w:p>
            <w:pPr>
              <w:widowControl/>
              <w:ind w:firstLine="420"/>
              <w:jc w:val="left"/>
              <w:rPr>
                <w:rFonts w:ascii="宋体" w:hAnsi="宋体"/>
                <w:color w:val="FF0000"/>
                <w:szCs w:val="21"/>
              </w:rPr>
            </w:pPr>
            <w:r>
              <w:rPr>
                <w:rFonts w:hint="eastAsia" w:ascii="宋体" w:hAnsi="宋体"/>
                <w:color w:val="FF0000"/>
                <w:szCs w:val="21"/>
              </w:rPr>
              <w:t>0.25%</w:t>
            </w:r>
          </w:p>
        </w:tc>
        <w:tc>
          <w:tcPr>
            <w:tcW w:w="1799" w:type="dxa"/>
            <w:vAlign w:val="center"/>
          </w:tcPr>
          <w:p>
            <w:pPr>
              <w:widowControl/>
              <w:ind w:firstLine="420"/>
              <w:jc w:val="left"/>
              <w:rPr>
                <w:rFonts w:ascii="宋体" w:hAnsi="宋体"/>
                <w:color w:val="FF0000"/>
                <w:szCs w:val="21"/>
              </w:rPr>
            </w:pPr>
            <w:r>
              <w:rPr>
                <w:rFonts w:hint="eastAsia" w:ascii="宋体" w:hAnsi="宋体"/>
                <w:color w:val="FF0000"/>
                <w:szCs w:val="21"/>
              </w:rPr>
              <w:t>0.35%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125" w:type="dxa"/>
            <w:vAlign w:val="center"/>
          </w:tcPr>
          <w:p>
            <w:pPr>
              <w:widowControl/>
              <w:ind w:firstLine="420"/>
              <w:jc w:val="left"/>
              <w:rPr>
                <w:rFonts w:ascii="宋体" w:hAnsi="宋体"/>
                <w:color w:val="FF0000"/>
                <w:szCs w:val="21"/>
              </w:rPr>
            </w:pPr>
            <w:r>
              <w:rPr>
                <w:rFonts w:hint="eastAsia" w:ascii="宋体" w:hAnsi="宋体"/>
                <w:color w:val="FF0000"/>
                <w:szCs w:val="21"/>
              </w:rPr>
              <w:t>5000万元（含）-1亿元</w:t>
            </w:r>
          </w:p>
        </w:tc>
        <w:tc>
          <w:tcPr>
            <w:tcW w:w="1799" w:type="dxa"/>
            <w:vAlign w:val="center"/>
          </w:tcPr>
          <w:p>
            <w:pPr>
              <w:widowControl/>
              <w:ind w:firstLine="420"/>
              <w:jc w:val="left"/>
              <w:rPr>
                <w:rFonts w:ascii="宋体" w:hAnsi="宋体"/>
                <w:color w:val="FF0000"/>
                <w:szCs w:val="21"/>
              </w:rPr>
            </w:pPr>
            <w:r>
              <w:rPr>
                <w:rFonts w:hint="eastAsia" w:ascii="宋体" w:hAnsi="宋体"/>
                <w:color w:val="FF0000"/>
                <w:szCs w:val="21"/>
              </w:rPr>
              <w:t>0.25%</w:t>
            </w:r>
          </w:p>
        </w:tc>
        <w:tc>
          <w:tcPr>
            <w:tcW w:w="1799" w:type="dxa"/>
            <w:vAlign w:val="center"/>
          </w:tcPr>
          <w:p>
            <w:pPr>
              <w:widowControl/>
              <w:ind w:firstLine="420"/>
              <w:jc w:val="left"/>
              <w:rPr>
                <w:rFonts w:ascii="宋体" w:hAnsi="宋体"/>
                <w:color w:val="FF0000"/>
                <w:szCs w:val="21"/>
              </w:rPr>
            </w:pPr>
            <w:r>
              <w:rPr>
                <w:rFonts w:hint="eastAsia" w:ascii="宋体" w:hAnsi="宋体"/>
                <w:color w:val="FF0000"/>
                <w:szCs w:val="21"/>
              </w:rPr>
              <w:t>0.1%</w:t>
            </w:r>
          </w:p>
        </w:tc>
        <w:tc>
          <w:tcPr>
            <w:tcW w:w="1799" w:type="dxa"/>
            <w:vAlign w:val="center"/>
          </w:tcPr>
          <w:p>
            <w:pPr>
              <w:widowControl/>
              <w:ind w:firstLine="420"/>
              <w:jc w:val="left"/>
              <w:rPr>
                <w:rFonts w:ascii="宋体" w:hAnsi="宋体"/>
                <w:color w:val="FF0000"/>
                <w:szCs w:val="21"/>
              </w:rPr>
            </w:pPr>
            <w:r>
              <w:rPr>
                <w:rFonts w:hint="eastAsia" w:ascii="宋体" w:hAnsi="宋体"/>
                <w:color w:val="FF0000"/>
                <w:szCs w:val="21"/>
              </w:rPr>
              <w:t>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125" w:type="dxa"/>
            <w:vAlign w:val="center"/>
          </w:tcPr>
          <w:p>
            <w:pPr>
              <w:widowControl/>
              <w:ind w:firstLine="420"/>
              <w:jc w:val="left"/>
              <w:rPr>
                <w:rFonts w:ascii="宋体" w:hAnsi="宋体"/>
                <w:color w:val="FF0000"/>
                <w:szCs w:val="21"/>
              </w:rPr>
            </w:pPr>
            <w:r>
              <w:rPr>
                <w:rFonts w:hint="eastAsia" w:ascii="宋体" w:hAnsi="宋体"/>
                <w:color w:val="FF0000"/>
                <w:szCs w:val="21"/>
              </w:rPr>
              <w:t>1亿元（含）-5亿元</w:t>
            </w:r>
          </w:p>
        </w:tc>
        <w:tc>
          <w:tcPr>
            <w:tcW w:w="1799" w:type="dxa"/>
            <w:vAlign w:val="center"/>
          </w:tcPr>
          <w:p>
            <w:pPr>
              <w:widowControl/>
              <w:ind w:firstLine="420"/>
              <w:jc w:val="left"/>
              <w:rPr>
                <w:rFonts w:ascii="宋体" w:hAnsi="宋体"/>
                <w:color w:val="FF0000"/>
                <w:szCs w:val="21"/>
              </w:rPr>
            </w:pPr>
            <w:r>
              <w:rPr>
                <w:rFonts w:hint="eastAsia" w:ascii="宋体" w:hAnsi="宋体"/>
                <w:color w:val="FF0000"/>
                <w:szCs w:val="21"/>
              </w:rPr>
              <w:t>0.05%</w:t>
            </w:r>
          </w:p>
        </w:tc>
        <w:tc>
          <w:tcPr>
            <w:tcW w:w="1799" w:type="dxa"/>
            <w:vAlign w:val="center"/>
          </w:tcPr>
          <w:p>
            <w:pPr>
              <w:widowControl/>
              <w:ind w:firstLine="420"/>
              <w:jc w:val="left"/>
              <w:rPr>
                <w:rFonts w:ascii="宋体" w:hAnsi="宋体"/>
                <w:color w:val="FF0000"/>
                <w:szCs w:val="21"/>
              </w:rPr>
            </w:pPr>
            <w:r>
              <w:rPr>
                <w:rFonts w:hint="eastAsia" w:ascii="宋体" w:hAnsi="宋体"/>
                <w:color w:val="FF0000"/>
                <w:szCs w:val="21"/>
              </w:rPr>
              <w:t>0.05%</w:t>
            </w:r>
          </w:p>
        </w:tc>
        <w:tc>
          <w:tcPr>
            <w:tcW w:w="1799" w:type="dxa"/>
            <w:vAlign w:val="center"/>
          </w:tcPr>
          <w:p>
            <w:pPr>
              <w:widowControl/>
              <w:ind w:firstLine="420"/>
              <w:jc w:val="left"/>
              <w:rPr>
                <w:rFonts w:ascii="宋体" w:hAnsi="宋体"/>
                <w:color w:val="FF0000"/>
                <w:szCs w:val="21"/>
              </w:rPr>
            </w:pPr>
            <w:r>
              <w:rPr>
                <w:rFonts w:hint="eastAsia" w:ascii="宋体" w:hAnsi="宋体"/>
                <w:color w:val="FF0000"/>
                <w:szCs w:val="21"/>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125" w:type="dxa"/>
            <w:vAlign w:val="center"/>
          </w:tcPr>
          <w:p>
            <w:pPr>
              <w:widowControl/>
              <w:ind w:firstLine="420"/>
              <w:jc w:val="left"/>
              <w:rPr>
                <w:rFonts w:ascii="宋体" w:hAnsi="宋体"/>
                <w:color w:val="FF0000"/>
                <w:szCs w:val="21"/>
              </w:rPr>
            </w:pPr>
            <w:r>
              <w:rPr>
                <w:rFonts w:hint="eastAsia" w:ascii="宋体" w:hAnsi="宋体"/>
                <w:color w:val="FF0000"/>
                <w:szCs w:val="21"/>
              </w:rPr>
              <w:t>5亿元（含）-10亿元</w:t>
            </w:r>
          </w:p>
        </w:tc>
        <w:tc>
          <w:tcPr>
            <w:tcW w:w="1799" w:type="dxa"/>
            <w:vAlign w:val="center"/>
          </w:tcPr>
          <w:p>
            <w:pPr>
              <w:widowControl/>
              <w:ind w:firstLine="420"/>
              <w:jc w:val="left"/>
              <w:rPr>
                <w:rFonts w:ascii="宋体" w:hAnsi="宋体"/>
                <w:color w:val="FF0000"/>
                <w:szCs w:val="21"/>
              </w:rPr>
            </w:pPr>
            <w:r>
              <w:rPr>
                <w:rFonts w:hint="eastAsia" w:ascii="宋体" w:hAnsi="宋体"/>
                <w:color w:val="FF0000"/>
                <w:szCs w:val="21"/>
              </w:rPr>
              <w:t>0.035%</w:t>
            </w:r>
          </w:p>
        </w:tc>
        <w:tc>
          <w:tcPr>
            <w:tcW w:w="1799" w:type="dxa"/>
            <w:vAlign w:val="center"/>
          </w:tcPr>
          <w:p>
            <w:pPr>
              <w:widowControl/>
              <w:ind w:firstLine="420"/>
              <w:jc w:val="left"/>
              <w:rPr>
                <w:rFonts w:ascii="宋体" w:hAnsi="宋体"/>
                <w:color w:val="FF0000"/>
                <w:szCs w:val="21"/>
              </w:rPr>
            </w:pPr>
            <w:r>
              <w:rPr>
                <w:rFonts w:hint="eastAsia" w:ascii="宋体" w:hAnsi="宋体"/>
                <w:color w:val="FF0000"/>
                <w:szCs w:val="21"/>
              </w:rPr>
              <w:t>0.035%</w:t>
            </w:r>
          </w:p>
        </w:tc>
        <w:tc>
          <w:tcPr>
            <w:tcW w:w="1799" w:type="dxa"/>
            <w:vAlign w:val="center"/>
          </w:tcPr>
          <w:p>
            <w:pPr>
              <w:widowControl/>
              <w:ind w:firstLine="420"/>
              <w:jc w:val="left"/>
              <w:rPr>
                <w:rFonts w:ascii="宋体" w:hAnsi="宋体"/>
                <w:color w:val="FF0000"/>
                <w:szCs w:val="21"/>
              </w:rPr>
            </w:pPr>
            <w:r>
              <w:rPr>
                <w:rFonts w:hint="eastAsia" w:ascii="宋体" w:hAnsi="宋体"/>
                <w:color w:val="FF0000"/>
                <w:szCs w:val="21"/>
              </w:rPr>
              <w:t>0.035%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125" w:type="dxa"/>
            <w:vAlign w:val="center"/>
          </w:tcPr>
          <w:p>
            <w:pPr>
              <w:widowControl/>
              <w:ind w:firstLine="420"/>
              <w:jc w:val="left"/>
              <w:rPr>
                <w:rFonts w:ascii="宋体" w:hAnsi="宋体"/>
                <w:color w:val="FF0000"/>
                <w:szCs w:val="21"/>
              </w:rPr>
            </w:pPr>
            <w:r>
              <w:rPr>
                <w:rFonts w:hint="eastAsia" w:ascii="宋体" w:hAnsi="宋体"/>
                <w:color w:val="FF0000"/>
                <w:szCs w:val="21"/>
              </w:rPr>
              <w:t>10亿元（含）-50亿元</w:t>
            </w:r>
          </w:p>
        </w:tc>
        <w:tc>
          <w:tcPr>
            <w:tcW w:w="1799" w:type="dxa"/>
            <w:vAlign w:val="center"/>
          </w:tcPr>
          <w:p>
            <w:pPr>
              <w:widowControl/>
              <w:ind w:firstLine="420"/>
              <w:jc w:val="left"/>
              <w:rPr>
                <w:rFonts w:ascii="宋体" w:hAnsi="宋体"/>
                <w:color w:val="FF0000"/>
                <w:szCs w:val="21"/>
              </w:rPr>
            </w:pPr>
            <w:r>
              <w:rPr>
                <w:rFonts w:hint="eastAsia" w:ascii="宋体" w:hAnsi="宋体"/>
                <w:color w:val="FF0000"/>
                <w:szCs w:val="21"/>
              </w:rPr>
              <w:t>0.008%</w:t>
            </w:r>
          </w:p>
        </w:tc>
        <w:tc>
          <w:tcPr>
            <w:tcW w:w="1799" w:type="dxa"/>
            <w:vAlign w:val="center"/>
          </w:tcPr>
          <w:p>
            <w:pPr>
              <w:widowControl/>
              <w:ind w:firstLine="420"/>
              <w:jc w:val="left"/>
              <w:rPr>
                <w:rFonts w:ascii="宋体" w:hAnsi="宋体"/>
                <w:color w:val="FF0000"/>
                <w:szCs w:val="21"/>
              </w:rPr>
            </w:pPr>
            <w:r>
              <w:rPr>
                <w:rFonts w:hint="eastAsia" w:ascii="宋体" w:hAnsi="宋体"/>
                <w:color w:val="FF0000"/>
                <w:szCs w:val="21"/>
              </w:rPr>
              <w:t>0.008%</w:t>
            </w:r>
          </w:p>
        </w:tc>
        <w:tc>
          <w:tcPr>
            <w:tcW w:w="1799" w:type="dxa"/>
            <w:vAlign w:val="center"/>
          </w:tcPr>
          <w:p>
            <w:pPr>
              <w:widowControl/>
              <w:ind w:firstLine="420"/>
              <w:jc w:val="left"/>
              <w:rPr>
                <w:rFonts w:ascii="宋体" w:hAnsi="宋体"/>
                <w:color w:val="FF0000"/>
                <w:szCs w:val="21"/>
              </w:rPr>
            </w:pPr>
            <w:r>
              <w:rPr>
                <w:rFonts w:hint="eastAsia" w:ascii="宋体" w:hAnsi="宋体"/>
                <w:color w:val="FF0000"/>
                <w:szCs w:val="21"/>
              </w:rPr>
              <w:t>0.008%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125" w:type="dxa"/>
            <w:vAlign w:val="center"/>
          </w:tcPr>
          <w:p>
            <w:pPr>
              <w:widowControl/>
              <w:ind w:firstLine="420"/>
              <w:jc w:val="left"/>
              <w:rPr>
                <w:rFonts w:ascii="宋体" w:hAnsi="宋体"/>
                <w:color w:val="FF0000"/>
                <w:szCs w:val="21"/>
              </w:rPr>
            </w:pPr>
            <w:r>
              <w:rPr>
                <w:rFonts w:hint="eastAsia" w:ascii="宋体" w:hAnsi="宋体"/>
                <w:color w:val="FF0000"/>
                <w:szCs w:val="21"/>
              </w:rPr>
              <w:t>50亿元（含）-100亿元</w:t>
            </w:r>
          </w:p>
        </w:tc>
        <w:tc>
          <w:tcPr>
            <w:tcW w:w="1799" w:type="dxa"/>
            <w:vAlign w:val="center"/>
          </w:tcPr>
          <w:p>
            <w:pPr>
              <w:widowControl/>
              <w:ind w:firstLine="420"/>
              <w:jc w:val="left"/>
              <w:rPr>
                <w:rFonts w:ascii="宋体" w:hAnsi="宋体"/>
                <w:color w:val="FF0000"/>
                <w:szCs w:val="21"/>
              </w:rPr>
            </w:pPr>
            <w:r>
              <w:rPr>
                <w:rFonts w:hint="eastAsia" w:ascii="宋体" w:hAnsi="宋体"/>
                <w:color w:val="FF0000"/>
                <w:szCs w:val="21"/>
              </w:rPr>
              <w:t>0.006%</w:t>
            </w:r>
          </w:p>
        </w:tc>
        <w:tc>
          <w:tcPr>
            <w:tcW w:w="1799" w:type="dxa"/>
            <w:vAlign w:val="center"/>
          </w:tcPr>
          <w:p>
            <w:pPr>
              <w:widowControl/>
              <w:ind w:firstLine="420"/>
              <w:jc w:val="left"/>
              <w:rPr>
                <w:rFonts w:ascii="宋体" w:hAnsi="宋体"/>
                <w:color w:val="FF0000"/>
                <w:szCs w:val="21"/>
              </w:rPr>
            </w:pPr>
            <w:r>
              <w:rPr>
                <w:rFonts w:hint="eastAsia" w:ascii="宋体" w:hAnsi="宋体"/>
                <w:color w:val="FF0000"/>
                <w:szCs w:val="21"/>
              </w:rPr>
              <w:t>0.006%</w:t>
            </w:r>
          </w:p>
        </w:tc>
        <w:tc>
          <w:tcPr>
            <w:tcW w:w="1799" w:type="dxa"/>
            <w:vAlign w:val="center"/>
          </w:tcPr>
          <w:p>
            <w:pPr>
              <w:widowControl/>
              <w:ind w:firstLine="420"/>
              <w:jc w:val="left"/>
              <w:rPr>
                <w:rFonts w:ascii="宋体" w:hAnsi="宋体"/>
                <w:color w:val="FF0000"/>
                <w:szCs w:val="21"/>
              </w:rPr>
            </w:pPr>
            <w:r>
              <w:rPr>
                <w:rFonts w:hint="eastAsia" w:ascii="宋体" w:hAnsi="宋体"/>
                <w:color w:val="FF0000"/>
                <w:szCs w:val="21"/>
              </w:rPr>
              <w:t>0.006%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125" w:type="dxa"/>
            <w:vAlign w:val="center"/>
          </w:tcPr>
          <w:p>
            <w:pPr>
              <w:widowControl/>
              <w:ind w:firstLine="420"/>
              <w:jc w:val="left"/>
              <w:rPr>
                <w:rFonts w:ascii="宋体" w:hAnsi="宋体"/>
                <w:color w:val="FF0000"/>
                <w:szCs w:val="21"/>
              </w:rPr>
            </w:pPr>
            <w:r>
              <w:rPr>
                <w:rFonts w:hint="eastAsia" w:ascii="宋体" w:hAnsi="宋体"/>
                <w:color w:val="FF0000"/>
                <w:szCs w:val="21"/>
              </w:rPr>
              <w:t>100亿元（含）以上</w:t>
            </w:r>
          </w:p>
        </w:tc>
        <w:tc>
          <w:tcPr>
            <w:tcW w:w="1799" w:type="dxa"/>
            <w:vAlign w:val="center"/>
          </w:tcPr>
          <w:p>
            <w:pPr>
              <w:widowControl/>
              <w:ind w:firstLine="420"/>
              <w:jc w:val="left"/>
              <w:rPr>
                <w:rFonts w:ascii="宋体" w:hAnsi="宋体"/>
                <w:color w:val="FF0000"/>
                <w:szCs w:val="21"/>
              </w:rPr>
            </w:pPr>
            <w:r>
              <w:rPr>
                <w:rFonts w:hint="eastAsia" w:ascii="宋体" w:hAnsi="宋体"/>
                <w:color w:val="FF0000"/>
                <w:szCs w:val="21"/>
              </w:rPr>
              <w:t>0.004%</w:t>
            </w:r>
          </w:p>
        </w:tc>
        <w:tc>
          <w:tcPr>
            <w:tcW w:w="1799" w:type="dxa"/>
            <w:vAlign w:val="center"/>
          </w:tcPr>
          <w:p>
            <w:pPr>
              <w:widowControl/>
              <w:ind w:firstLine="420"/>
              <w:jc w:val="left"/>
              <w:rPr>
                <w:rFonts w:ascii="宋体" w:hAnsi="宋体"/>
                <w:color w:val="FF0000"/>
                <w:szCs w:val="21"/>
              </w:rPr>
            </w:pPr>
            <w:r>
              <w:rPr>
                <w:rFonts w:hint="eastAsia" w:ascii="宋体" w:hAnsi="宋体"/>
                <w:color w:val="FF0000"/>
                <w:szCs w:val="21"/>
              </w:rPr>
              <w:t>0.004%</w:t>
            </w:r>
          </w:p>
        </w:tc>
        <w:tc>
          <w:tcPr>
            <w:tcW w:w="1799" w:type="dxa"/>
            <w:vAlign w:val="center"/>
          </w:tcPr>
          <w:p>
            <w:pPr>
              <w:widowControl/>
              <w:ind w:firstLine="420"/>
              <w:jc w:val="left"/>
              <w:rPr>
                <w:rFonts w:ascii="宋体" w:hAnsi="宋体"/>
                <w:color w:val="FF0000"/>
                <w:szCs w:val="21"/>
              </w:rPr>
            </w:pPr>
            <w:r>
              <w:rPr>
                <w:rFonts w:hint="eastAsia" w:ascii="宋体" w:hAnsi="宋体"/>
                <w:color w:val="FF0000"/>
                <w:szCs w:val="21"/>
              </w:rPr>
              <w:t>0.004%</w:t>
            </w:r>
          </w:p>
        </w:tc>
      </w:tr>
    </w:tbl>
    <w:p>
      <w:pPr>
        <w:widowControl/>
        <w:ind w:firstLine="420"/>
        <w:jc w:val="left"/>
        <w:rPr>
          <w:rFonts w:ascii="宋体" w:hAnsi="宋体"/>
          <w:color w:val="FF0000"/>
          <w:szCs w:val="21"/>
        </w:rPr>
      </w:pPr>
      <w:r>
        <w:rPr>
          <w:rFonts w:hint="eastAsia" w:ascii="宋体" w:hAnsi="宋体"/>
          <w:color w:val="FF0000"/>
          <w:szCs w:val="21"/>
        </w:rPr>
        <w:t>备注：1.每宗交易代理服务费不低于 5000 元；</w:t>
      </w:r>
    </w:p>
    <w:p>
      <w:pPr>
        <w:widowControl/>
        <w:ind w:firstLine="420"/>
        <w:jc w:val="left"/>
        <w:rPr>
          <w:rFonts w:ascii="宋体" w:hAnsi="宋体"/>
          <w:color w:val="FF0000"/>
          <w:szCs w:val="21"/>
        </w:rPr>
      </w:pPr>
      <w:r>
        <w:rPr>
          <w:rFonts w:hint="eastAsia" w:ascii="宋体" w:hAnsi="宋体"/>
          <w:color w:val="FF0000"/>
          <w:szCs w:val="21"/>
        </w:rPr>
        <w:t>2.对于报总价的采购类项目，成交价为成交金额；对于报单价或折扣或费率的采购类项目，成交价为预算上限金额或经委托方与代理方确定的支付上限金额。</w:t>
      </w:r>
    </w:p>
    <w:p>
      <w:pPr>
        <w:widowControl/>
        <w:ind w:firstLine="420"/>
        <w:jc w:val="left"/>
        <w:rPr>
          <w:rFonts w:ascii="宋体" w:hAnsi="宋体"/>
          <w:color w:val="FF0000"/>
          <w:szCs w:val="21"/>
        </w:rPr>
      </w:pPr>
      <w:r>
        <w:rPr>
          <w:rFonts w:hint="eastAsia" w:ascii="宋体" w:hAnsi="宋体"/>
          <w:color w:val="FF0000"/>
          <w:szCs w:val="21"/>
        </w:rPr>
        <w:t>如某货物采购项目，成交金额为600万元，总共交纳的代理服务费的具体计算过程如下：</w:t>
      </w:r>
    </w:p>
    <w:p>
      <w:pPr>
        <w:widowControl/>
        <w:ind w:firstLine="420"/>
        <w:jc w:val="left"/>
        <w:rPr>
          <w:rFonts w:ascii="宋体" w:hAnsi="宋体"/>
          <w:color w:val="FF0000"/>
          <w:szCs w:val="21"/>
        </w:rPr>
      </w:pPr>
      <w:r>
        <w:rPr>
          <w:rFonts w:hint="eastAsia" w:ascii="宋体" w:hAnsi="宋体"/>
          <w:color w:val="FF0000"/>
          <w:szCs w:val="21"/>
        </w:rPr>
        <w:t>标准代理服务费＝（100万以下部分的代理服务费）+（100万～500万部分的代理服务费）+（500万～600万部分的代理服务费）＝100万元×1.5%+（500-100）万元×1.1%+（600-500）万元×0.8%=1.5万元+4.4万元+0.8万元＝6.7万元</w:t>
      </w:r>
    </w:p>
    <w:p>
      <w:pPr>
        <w:widowControl/>
        <w:ind w:firstLine="420"/>
        <w:jc w:val="left"/>
        <w:rPr>
          <w:rFonts w:ascii="宋体" w:hAnsi="宋体"/>
          <w:color w:val="FF0000"/>
          <w:szCs w:val="21"/>
        </w:rPr>
      </w:pPr>
      <w:r>
        <w:rPr>
          <w:rFonts w:hint="eastAsia" w:ascii="宋体" w:hAnsi="宋体"/>
          <w:color w:val="FF0000"/>
          <w:szCs w:val="21"/>
        </w:rPr>
        <w:t>（三）中标供应商成交后，必须按规定采用银行对公转账方式向深圳交易集团有限公司直接交纳代理服务费，交纳信息及要求按以下规定执行：</w:t>
      </w:r>
    </w:p>
    <w:p>
      <w:pPr>
        <w:widowControl/>
        <w:ind w:firstLine="420"/>
        <w:jc w:val="left"/>
        <w:rPr>
          <w:rFonts w:ascii="宋体" w:hAnsi="宋体"/>
          <w:color w:val="FF0000"/>
          <w:szCs w:val="21"/>
        </w:rPr>
      </w:pPr>
      <w:r>
        <w:rPr>
          <w:rFonts w:hint="eastAsia" w:ascii="宋体" w:hAnsi="宋体"/>
          <w:color w:val="FF0000"/>
          <w:szCs w:val="21"/>
        </w:rPr>
        <w:t>经营性账户信息如下：</w:t>
      </w:r>
    </w:p>
    <w:p>
      <w:pPr>
        <w:widowControl/>
        <w:ind w:firstLine="420"/>
        <w:jc w:val="left"/>
        <w:rPr>
          <w:rFonts w:ascii="宋体" w:hAnsi="宋体"/>
          <w:color w:val="FF0000"/>
          <w:szCs w:val="21"/>
        </w:rPr>
      </w:pPr>
      <w:r>
        <w:rPr>
          <w:rFonts w:hint="eastAsia" w:ascii="宋体" w:hAnsi="宋体"/>
          <w:color w:val="FF0000"/>
          <w:szCs w:val="21"/>
        </w:rPr>
        <w:t>账户名：深圳交易集团有限公司</w:t>
      </w:r>
    </w:p>
    <w:p>
      <w:pPr>
        <w:widowControl/>
        <w:ind w:firstLine="420"/>
        <w:jc w:val="left"/>
        <w:rPr>
          <w:rFonts w:ascii="宋体" w:hAnsi="宋体"/>
          <w:color w:val="FF0000"/>
          <w:szCs w:val="21"/>
        </w:rPr>
      </w:pPr>
      <w:r>
        <w:rPr>
          <w:rFonts w:hint="eastAsia" w:ascii="宋体" w:hAnsi="宋体"/>
          <w:color w:val="FF0000"/>
          <w:szCs w:val="21"/>
        </w:rPr>
        <w:t>账号：632765963</w:t>
      </w:r>
    </w:p>
    <w:p>
      <w:pPr>
        <w:widowControl/>
        <w:ind w:firstLine="420"/>
        <w:jc w:val="left"/>
        <w:rPr>
          <w:rFonts w:ascii="宋体" w:hAnsi="宋体"/>
          <w:color w:val="FF0000"/>
          <w:szCs w:val="21"/>
        </w:rPr>
      </w:pPr>
      <w:r>
        <w:rPr>
          <w:rFonts w:hint="eastAsia" w:ascii="宋体" w:hAnsi="宋体"/>
          <w:color w:val="FF0000"/>
          <w:szCs w:val="21"/>
        </w:rPr>
        <w:t>开户行：中国民生银行深圳五洲支行</w:t>
      </w:r>
    </w:p>
    <w:p>
      <w:pPr>
        <w:widowControl/>
        <w:ind w:firstLine="420"/>
        <w:jc w:val="left"/>
        <w:rPr>
          <w:rFonts w:ascii="宋体" w:hAnsi="宋体"/>
          <w:color w:val="FF0000"/>
          <w:szCs w:val="21"/>
        </w:rPr>
      </w:pPr>
      <w:r>
        <w:rPr>
          <w:rFonts w:hint="eastAsia" w:ascii="宋体" w:hAnsi="宋体"/>
          <w:color w:val="FF0000"/>
          <w:szCs w:val="21"/>
        </w:rPr>
        <w:t>转账备注：项目编号+项目名称</w:t>
      </w:r>
    </w:p>
    <w:p>
      <w:pPr>
        <w:pStyle w:val="9"/>
        <w:rPr>
          <w:rFonts w:ascii="宋体" w:hAnsi="宋体"/>
          <w:color w:val="FF0000"/>
          <w:szCs w:val="21"/>
        </w:rPr>
      </w:pPr>
    </w:p>
    <w:p>
      <w:pPr>
        <w:widowControl/>
        <w:jc w:val="left"/>
        <w:rPr>
          <w:rFonts w:ascii="宋体" w:hAnsi="宋体"/>
          <w:color w:val="FF0000"/>
          <w:sz w:val="24"/>
          <w:szCs w:val="21"/>
        </w:rPr>
      </w:pPr>
      <w:r>
        <w:rPr>
          <w:rFonts w:ascii="宋体" w:hAnsi="宋体"/>
          <w:color w:val="FF0000"/>
          <w:szCs w:val="21"/>
        </w:rPr>
        <w:br w:type="page"/>
      </w:r>
    </w:p>
    <w:p>
      <w:pPr>
        <w:keepNext/>
        <w:keepLines/>
        <w:adjustRightInd w:val="0"/>
        <w:spacing w:before="260" w:after="260"/>
        <w:jc w:val="center"/>
        <w:textAlignment w:val="baseline"/>
        <w:outlineLvl w:val="1"/>
        <w:rPr>
          <w:rFonts w:ascii="宋体" w:hAnsi="宋体" w:eastAsia="宋体" w:cs="Times New Roman"/>
          <w:b/>
          <w:bCs/>
          <w:kern w:val="0"/>
          <w:sz w:val="28"/>
          <w:szCs w:val="28"/>
        </w:rPr>
      </w:pPr>
      <w:r>
        <w:rPr>
          <w:rFonts w:hint="eastAsia" w:ascii="宋体" w:hAnsi="宋体" w:eastAsia="宋体" w:cs="Times New Roman"/>
          <w:b/>
          <w:bCs/>
          <w:kern w:val="0"/>
          <w:sz w:val="28"/>
          <w:szCs w:val="28"/>
        </w:rPr>
        <w:t>第三章 用户需求书</w:t>
      </w:r>
    </w:p>
    <w:p>
      <w:pPr>
        <w:keepNext/>
        <w:keepLines/>
        <w:tabs>
          <w:tab w:val="left" w:pos="1680"/>
        </w:tabs>
        <w:spacing w:before="260" w:afterLines="25"/>
        <w:jc w:val="center"/>
        <w:outlineLvl w:val="2"/>
        <w:rPr>
          <w:rFonts w:ascii="Arial" w:hAnsi="Arial" w:eastAsia="宋体" w:cs="Times New Roman"/>
          <w:b/>
          <w:sz w:val="32"/>
          <w:szCs w:val="32"/>
        </w:rPr>
      </w:pPr>
      <w:r>
        <w:rPr>
          <w:rFonts w:hint="eastAsia" w:ascii="Arial" w:hAnsi="Arial" w:eastAsia="宋体" w:cs="Times New Roman"/>
          <w:b/>
          <w:sz w:val="32"/>
          <w:szCs w:val="32"/>
        </w:rPr>
        <w:t>一、项目基本信息</w:t>
      </w:r>
    </w:p>
    <w:tbl>
      <w:tblPr>
        <w:tblStyle w:val="16"/>
        <w:tblW w:w="8931" w:type="dxa"/>
        <w:jc w:val="center"/>
        <w:tblLayout w:type="fixed"/>
        <w:tblCellMar>
          <w:top w:w="15" w:type="dxa"/>
          <w:left w:w="15" w:type="dxa"/>
          <w:bottom w:w="15" w:type="dxa"/>
          <w:right w:w="15" w:type="dxa"/>
        </w:tblCellMar>
      </w:tblPr>
      <w:tblGrid>
        <w:gridCol w:w="710"/>
        <w:gridCol w:w="2693"/>
        <w:gridCol w:w="2906"/>
        <w:gridCol w:w="2622"/>
      </w:tblGrid>
      <w:tr>
        <w:tblPrEx>
          <w:tblCellMar>
            <w:top w:w="15" w:type="dxa"/>
            <w:left w:w="15" w:type="dxa"/>
            <w:bottom w:w="15" w:type="dxa"/>
            <w:right w:w="15" w:type="dxa"/>
          </w:tblCellMar>
        </w:tblPrEx>
        <w:trPr>
          <w:trHeight w:val="552" w:hRule="atLeast"/>
          <w:jc w:val="center"/>
        </w:trPr>
        <w:tc>
          <w:tcPr>
            <w:tcW w:w="710" w:type="dxa"/>
            <w:tcBorders>
              <w:top w:val="single" w:color="000000" w:sz="4" w:space="0"/>
              <w:left w:val="single" w:color="000000" w:sz="4" w:space="0"/>
              <w:bottom w:val="single" w:color="000000" w:sz="4" w:space="0"/>
              <w:right w:val="single" w:color="auto" w:sz="4" w:space="0"/>
            </w:tcBorders>
            <w:shd w:val="clear" w:color="auto" w:fill="C6D9F0" w:themeFill="text2" w:themeFillTint="33"/>
            <w:vAlign w:val="center"/>
          </w:tcPr>
          <w:p>
            <w:pPr>
              <w:jc w:val="center"/>
            </w:pPr>
            <w:r>
              <w:rPr>
                <w:rFonts w:hint="eastAsia"/>
              </w:rPr>
              <w:t>序号</w:t>
            </w:r>
          </w:p>
        </w:tc>
        <w:tc>
          <w:tcPr>
            <w:tcW w:w="2693" w:type="dxa"/>
            <w:tcBorders>
              <w:top w:val="single" w:color="000000" w:sz="4" w:space="0"/>
              <w:left w:val="single" w:color="auto" w:sz="4" w:space="0"/>
              <w:bottom w:val="single" w:color="000000" w:sz="4" w:space="0"/>
              <w:right w:val="single" w:color="000000" w:sz="4" w:space="0"/>
            </w:tcBorders>
            <w:shd w:val="clear" w:color="auto" w:fill="C6D9F0" w:themeFill="text2" w:themeFillTint="33"/>
            <w:vAlign w:val="center"/>
          </w:tcPr>
          <w:p>
            <w:pPr>
              <w:jc w:val="center"/>
            </w:pPr>
            <w:r>
              <w:rPr>
                <w:rFonts w:hint="eastAsia"/>
              </w:rPr>
              <w:t>采购计划编号</w:t>
            </w:r>
          </w:p>
        </w:tc>
        <w:tc>
          <w:tcPr>
            <w:tcW w:w="2906" w:type="dxa"/>
            <w:tcBorders>
              <w:top w:val="single" w:color="000000" w:sz="4" w:space="0"/>
              <w:left w:val="single" w:color="000000" w:sz="4" w:space="0"/>
              <w:bottom w:val="single" w:color="000000" w:sz="4" w:space="0"/>
              <w:right w:val="single" w:color="000000" w:sz="4" w:space="0"/>
            </w:tcBorders>
            <w:shd w:val="clear" w:color="auto" w:fill="C6D9F0" w:themeFill="text2" w:themeFillTint="33"/>
            <w:vAlign w:val="center"/>
          </w:tcPr>
          <w:p>
            <w:pPr>
              <w:jc w:val="center"/>
            </w:pPr>
            <w:r>
              <w:rPr>
                <w:rFonts w:hint="eastAsia"/>
              </w:rPr>
              <w:t>采购项目名称</w:t>
            </w:r>
          </w:p>
        </w:tc>
        <w:tc>
          <w:tcPr>
            <w:tcW w:w="2622" w:type="dxa"/>
            <w:tcBorders>
              <w:top w:val="single" w:color="000000" w:sz="4" w:space="0"/>
              <w:left w:val="single" w:color="000000" w:sz="4" w:space="0"/>
              <w:bottom w:val="single" w:color="000000" w:sz="4" w:space="0"/>
              <w:right w:val="single" w:color="000000" w:sz="4" w:space="0"/>
            </w:tcBorders>
            <w:shd w:val="clear" w:color="auto" w:fill="C6D9F0" w:themeFill="text2" w:themeFillTint="33"/>
            <w:vAlign w:val="center"/>
          </w:tcPr>
          <w:p>
            <w:pPr>
              <w:jc w:val="center"/>
            </w:pPr>
            <w:r>
              <w:rPr>
                <w:rFonts w:hint="eastAsia" w:asciiTheme="minorEastAsia" w:hAnsiTheme="minorEastAsia"/>
                <w:sz w:val="24"/>
                <w:szCs w:val="24"/>
              </w:rPr>
              <w:t>财政预算限额（元）</w:t>
            </w:r>
          </w:p>
        </w:tc>
      </w:tr>
      <w:tr>
        <w:tblPrEx>
          <w:tblCellMar>
            <w:top w:w="15" w:type="dxa"/>
            <w:left w:w="15" w:type="dxa"/>
            <w:bottom w:w="15" w:type="dxa"/>
            <w:right w:w="15" w:type="dxa"/>
          </w:tblCellMar>
        </w:tblPrEx>
        <w:trPr>
          <w:trHeight w:val="286" w:hRule="atLeast"/>
          <w:jc w:val="center"/>
        </w:trPr>
        <w:tc>
          <w:tcPr>
            <w:tcW w:w="710" w:type="dxa"/>
            <w:tcBorders>
              <w:top w:val="single" w:color="000000" w:sz="4" w:space="0"/>
              <w:left w:val="single" w:color="000000" w:sz="4" w:space="0"/>
              <w:bottom w:val="single" w:color="000000" w:sz="4" w:space="0"/>
              <w:right w:val="single" w:color="auto" w:sz="4" w:space="0"/>
            </w:tcBorders>
            <w:vAlign w:val="center"/>
          </w:tcPr>
          <w:p>
            <w:pPr>
              <w:jc w:val="center"/>
              <w:rPr>
                <w:rFonts w:asciiTheme="minorEastAsia" w:hAnsiTheme="minorEastAsia"/>
                <w:sz w:val="24"/>
                <w:szCs w:val="24"/>
              </w:rPr>
            </w:pPr>
            <w:r>
              <w:rPr>
                <w:rFonts w:hint="eastAsia" w:asciiTheme="minorEastAsia" w:hAnsiTheme="minorEastAsia"/>
                <w:sz w:val="24"/>
                <w:szCs w:val="24"/>
              </w:rPr>
              <w:t>1</w:t>
            </w:r>
          </w:p>
        </w:tc>
        <w:tc>
          <w:tcPr>
            <w:tcW w:w="2693" w:type="dxa"/>
            <w:tcBorders>
              <w:top w:val="single" w:color="000000" w:sz="4" w:space="0"/>
              <w:left w:val="single" w:color="auto" w:sz="4" w:space="0"/>
              <w:bottom w:val="single" w:color="000000" w:sz="4" w:space="0"/>
              <w:right w:val="single" w:color="000000" w:sz="4" w:space="0"/>
            </w:tcBorders>
            <w:vAlign w:val="center"/>
          </w:tcPr>
          <w:p>
            <w:pPr>
              <w:jc w:val="center"/>
              <w:rPr>
                <w:rFonts w:asciiTheme="minorEastAsia" w:hAnsiTheme="minorEastAsia"/>
                <w:sz w:val="24"/>
                <w:szCs w:val="24"/>
              </w:rPr>
            </w:pPr>
            <w:r>
              <w:rPr>
                <w:rFonts w:asciiTheme="minorEastAsia" w:hAnsiTheme="minorEastAsia"/>
                <w:sz w:val="24"/>
                <w:szCs w:val="24"/>
              </w:rPr>
              <w:t>BAJYJ2024011501133C</w:t>
            </w:r>
          </w:p>
        </w:tc>
        <w:tc>
          <w:tcPr>
            <w:tcW w:w="2906" w:type="dxa"/>
            <w:tcBorders>
              <w:top w:val="single" w:color="000000" w:sz="4" w:space="0"/>
              <w:left w:val="single" w:color="000000" w:sz="4" w:space="0"/>
              <w:right w:val="single" w:color="000000" w:sz="4" w:space="0"/>
            </w:tcBorders>
            <w:vAlign w:val="center"/>
          </w:tcPr>
          <w:p>
            <w:pPr>
              <w:jc w:val="center"/>
              <w:rPr>
                <w:rFonts w:asciiTheme="minorEastAsia" w:hAnsiTheme="minorEastAsia"/>
                <w:sz w:val="24"/>
                <w:szCs w:val="24"/>
              </w:rPr>
            </w:pPr>
            <w:r>
              <w:rPr>
                <w:rFonts w:hint="eastAsia" w:asciiTheme="minorEastAsia" w:hAnsiTheme="minorEastAsia"/>
                <w:sz w:val="24"/>
                <w:szCs w:val="24"/>
              </w:rPr>
              <w:t>深圳市宝安职业教育集团第二校区2024年引进外籍教师国际课程服务</w:t>
            </w:r>
          </w:p>
          <w:p>
            <w:pPr>
              <w:jc w:val="center"/>
            </w:pPr>
            <w:r>
              <w:rPr>
                <w:rFonts w:hint="eastAsia" w:asciiTheme="minorEastAsia" w:hAnsiTheme="minorEastAsia"/>
                <w:sz w:val="24"/>
                <w:szCs w:val="24"/>
              </w:rPr>
              <w:t>（</w:t>
            </w:r>
            <w:r>
              <w:rPr>
                <w:rFonts w:hint="eastAsia" w:cs="Times New Roman" w:asciiTheme="minorEastAsia" w:hAnsiTheme="minorEastAsia"/>
                <w:sz w:val="24"/>
                <w:szCs w:val="24"/>
              </w:rPr>
              <w:t>A包</w:t>
            </w:r>
            <w:r>
              <w:rPr>
                <w:rFonts w:hint="eastAsia" w:asciiTheme="minorEastAsia" w:hAnsiTheme="minorEastAsia"/>
                <w:sz w:val="24"/>
                <w:szCs w:val="24"/>
              </w:rPr>
              <w:t>）</w:t>
            </w:r>
          </w:p>
        </w:tc>
        <w:tc>
          <w:tcPr>
            <w:tcW w:w="2622" w:type="dxa"/>
            <w:tcBorders>
              <w:top w:val="single" w:color="000000" w:sz="4" w:space="0"/>
              <w:left w:val="single" w:color="000000" w:sz="4" w:space="0"/>
              <w:bottom w:val="single" w:color="000000" w:sz="4" w:space="0"/>
              <w:right w:val="single" w:color="000000" w:sz="4" w:space="0"/>
            </w:tcBorders>
            <w:vAlign w:val="center"/>
          </w:tcPr>
          <w:p>
            <w:pPr>
              <w:jc w:val="center"/>
              <w:rPr>
                <w:rFonts w:asciiTheme="minorEastAsia" w:hAnsiTheme="minorEastAsia"/>
                <w:sz w:val="24"/>
                <w:szCs w:val="24"/>
              </w:rPr>
            </w:pPr>
            <w:r>
              <w:rPr>
                <w:rFonts w:asciiTheme="minorEastAsia" w:hAnsiTheme="minorEastAsia"/>
                <w:sz w:val="24"/>
                <w:szCs w:val="24"/>
              </w:rPr>
              <w:t>280,000.00</w:t>
            </w:r>
          </w:p>
        </w:tc>
      </w:tr>
      <w:tr>
        <w:tblPrEx>
          <w:tblCellMar>
            <w:top w:w="15" w:type="dxa"/>
            <w:left w:w="15" w:type="dxa"/>
            <w:bottom w:w="15" w:type="dxa"/>
            <w:right w:w="15" w:type="dxa"/>
          </w:tblCellMar>
        </w:tblPrEx>
        <w:trPr>
          <w:trHeight w:val="172" w:hRule="atLeast"/>
          <w:jc w:val="center"/>
        </w:trPr>
        <w:tc>
          <w:tcPr>
            <w:tcW w:w="6309" w:type="dxa"/>
            <w:gridSpan w:val="3"/>
            <w:tcBorders>
              <w:top w:val="single" w:color="000000" w:sz="4" w:space="0"/>
              <w:left w:val="single" w:color="000000" w:sz="4" w:space="0"/>
              <w:bottom w:val="single" w:color="auto" w:sz="4" w:space="0"/>
              <w:right w:val="single" w:color="000000" w:sz="4" w:space="0"/>
            </w:tcBorders>
            <w:vAlign w:val="center"/>
          </w:tcPr>
          <w:p>
            <w:pPr>
              <w:jc w:val="center"/>
            </w:pPr>
            <w:r>
              <w:rPr>
                <w:rFonts w:hint="eastAsia"/>
              </w:rPr>
              <w:t>合计（元）</w:t>
            </w:r>
          </w:p>
        </w:tc>
        <w:tc>
          <w:tcPr>
            <w:tcW w:w="2622" w:type="dxa"/>
            <w:tcBorders>
              <w:top w:val="single" w:color="000000" w:sz="4" w:space="0"/>
              <w:left w:val="single" w:color="000000" w:sz="4" w:space="0"/>
              <w:bottom w:val="single" w:color="auto" w:sz="4" w:space="0"/>
              <w:right w:val="single" w:color="000000" w:sz="4" w:space="0"/>
            </w:tcBorders>
            <w:vAlign w:val="center"/>
          </w:tcPr>
          <w:p>
            <w:pPr>
              <w:jc w:val="center"/>
              <w:rPr>
                <w:rFonts w:asciiTheme="minorEastAsia" w:hAnsiTheme="minorEastAsia"/>
                <w:sz w:val="24"/>
                <w:szCs w:val="24"/>
              </w:rPr>
            </w:pPr>
            <w:r>
              <w:rPr>
                <w:rFonts w:asciiTheme="minorEastAsia" w:hAnsiTheme="minorEastAsia"/>
                <w:sz w:val="24"/>
                <w:szCs w:val="24"/>
              </w:rPr>
              <w:t>280,000.00</w:t>
            </w:r>
          </w:p>
        </w:tc>
      </w:tr>
    </w:tbl>
    <w:p>
      <w:pPr>
        <w:rPr>
          <w:sz w:val="24"/>
          <w:szCs w:val="24"/>
        </w:rPr>
      </w:pPr>
      <w:r>
        <w:rPr>
          <w:rFonts w:hint="eastAsia" w:ascii="Arial" w:hAnsi="Arial" w:eastAsia="宋体" w:cs="Times New Roman"/>
          <w:b/>
          <w:color w:val="FF0000"/>
          <w:sz w:val="24"/>
          <w:szCs w:val="24"/>
        </w:rPr>
        <w:t>本项目控制金额为人民币</w:t>
      </w:r>
      <w:r>
        <w:rPr>
          <w:rFonts w:ascii="Arial" w:hAnsi="Arial" w:eastAsia="宋体" w:cs="Times New Roman"/>
          <w:b/>
          <w:color w:val="0000FF"/>
          <w:sz w:val="24"/>
          <w:szCs w:val="24"/>
        </w:rPr>
        <w:t>280,000.00</w:t>
      </w:r>
      <w:r>
        <w:rPr>
          <w:rFonts w:hint="eastAsia" w:ascii="Arial" w:hAnsi="Arial" w:eastAsia="宋体" w:cs="Times New Roman"/>
          <w:b/>
          <w:color w:val="0000FF"/>
          <w:sz w:val="24"/>
          <w:szCs w:val="24"/>
        </w:rPr>
        <w:t>元</w:t>
      </w:r>
      <w:r>
        <w:rPr>
          <w:rFonts w:hint="eastAsia" w:ascii="Arial" w:hAnsi="Arial" w:eastAsia="宋体" w:cs="Times New Roman"/>
          <w:b/>
          <w:color w:val="FF0000"/>
          <w:sz w:val="24"/>
          <w:szCs w:val="24"/>
        </w:rPr>
        <w:t>，投标报价超出控制金额将作投标无效处理。</w:t>
      </w:r>
    </w:p>
    <w:p>
      <w:pPr>
        <w:keepNext/>
        <w:keepLines/>
        <w:tabs>
          <w:tab w:val="left" w:pos="1680"/>
        </w:tabs>
        <w:spacing w:before="260" w:afterLines="25"/>
        <w:jc w:val="center"/>
        <w:outlineLvl w:val="2"/>
        <w:rPr>
          <w:rFonts w:ascii="Arial" w:hAnsi="Arial" w:eastAsia="宋体" w:cs="Times New Roman"/>
          <w:b/>
          <w:sz w:val="32"/>
          <w:szCs w:val="32"/>
        </w:rPr>
      </w:pPr>
      <w:r>
        <w:rPr>
          <w:rFonts w:hint="eastAsia" w:ascii="Arial" w:hAnsi="Arial" w:eastAsia="宋体" w:cs="Times New Roman"/>
          <w:b/>
          <w:sz w:val="32"/>
          <w:szCs w:val="32"/>
        </w:rPr>
        <w:t>二、服务需求明细</w:t>
      </w:r>
    </w:p>
    <w:tbl>
      <w:tblPr>
        <w:tblStyle w:val="16"/>
        <w:tblW w:w="9019" w:type="dxa"/>
        <w:jc w:val="center"/>
        <w:tblLayout w:type="fixed"/>
        <w:tblCellMar>
          <w:top w:w="15" w:type="dxa"/>
          <w:left w:w="15" w:type="dxa"/>
          <w:bottom w:w="15" w:type="dxa"/>
          <w:right w:w="15" w:type="dxa"/>
        </w:tblCellMar>
      </w:tblPr>
      <w:tblGrid>
        <w:gridCol w:w="691"/>
        <w:gridCol w:w="3969"/>
        <w:gridCol w:w="869"/>
        <w:gridCol w:w="850"/>
        <w:gridCol w:w="1542"/>
        <w:gridCol w:w="1098"/>
      </w:tblGrid>
      <w:tr>
        <w:tblPrEx>
          <w:tblCellMar>
            <w:top w:w="15" w:type="dxa"/>
            <w:left w:w="15" w:type="dxa"/>
            <w:bottom w:w="15" w:type="dxa"/>
            <w:right w:w="15" w:type="dxa"/>
          </w:tblCellMar>
        </w:tblPrEx>
        <w:trPr>
          <w:trHeight w:val="552" w:hRule="atLeast"/>
          <w:jc w:val="center"/>
        </w:trPr>
        <w:tc>
          <w:tcPr>
            <w:tcW w:w="691" w:type="dxa"/>
            <w:tcBorders>
              <w:top w:val="single" w:color="000000" w:sz="4" w:space="0"/>
              <w:left w:val="single" w:color="000000" w:sz="4" w:space="0"/>
              <w:bottom w:val="single" w:color="000000" w:sz="4" w:space="0"/>
              <w:right w:val="single" w:color="auto" w:sz="4" w:space="0"/>
            </w:tcBorders>
            <w:shd w:val="clear" w:color="auto" w:fill="C6D9F0" w:themeFill="text2" w:themeFillTint="33"/>
            <w:vAlign w:val="center"/>
          </w:tcPr>
          <w:p>
            <w:pPr>
              <w:jc w:val="center"/>
              <w:rPr>
                <w:b/>
                <w:bCs/>
              </w:rPr>
            </w:pPr>
            <w:r>
              <w:rPr>
                <w:rFonts w:hint="eastAsia"/>
                <w:b/>
                <w:bCs/>
              </w:rPr>
              <w:t>序号</w:t>
            </w:r>
          </w:p>
        </w:tc>
        <w:tc>
          <w:tcPr>
            <w:tcW w:w="3969" w:type="dxa"/>
            <w:tcBorders>
              <w:top w:val="single" w:color="000000" w:sz="4" w:space="0"/>
              <w:left w:val="single" w:color="auto" w:sz="4" w:space="0"/>
              <w:bottom w:val="single" w:color="000000" w:sz="4" w:space="0"/>
              <w:right w:val="single" w:color="000000" w:sz="4" w:space="0"/>
            </w:tcBorders>
            <w:shd w:val="clear" w:color="auto" w:fill="C6D9F0" w:themeFill="text2" w:themeFillTint="33"/>
            <w:vAlign w:val="center"/>
          </w:tcPr>
          <w:p>
            <w:pPr>
              <w:jc w:val="center"/>
              <w:rPr>
                <w:b/>
                <w:bCs/>
              </w:rPr>
            </w:pPr>
            <w:r>
              <w:rPr>
                <w:rFonts w:hint="eastAsia"/>
                <w:b/>
                <w:bCs/>
              </w:rPr>
              <w:t>服务需求名称（标的名称）</w:t>
            </w:r>
          </w:p>
        </w:tc>
        <w:tc>
          <w:tcPr>
            <w:tcW w:w="869" w:type="dxa"/>
            <w:tcBorders>
              <w:top w:val="single" w:color="000000" w:sz="4" w:space="0"/>
              <w:left w:val="single" w:color="000000" w:sz="4" w:space="0"/>
              <w:bottom w:val="single" w:color="000000" w:sz="4" w:space="0"/>
              <w:right w:val="single" w:color="000000" w:sz="4" w:space="0"/>
            </w:tcBorders>
            <w:shd w:val="clear" w:color="auto" w:fill="C6D9F0" w:themeFill="text2" w:themeFillTint="33"/>
            <w:vAlign w:val="center"/>
          </w:tcPr>
          <w:p>
            <w:pPr>
              <w:jc w:val="center"/>
              <w:rPr>
                <w:b/>
                <w:bCs/>
              </w:rPr>
            </w:pPr>
            <w:r>
              <w:rPr>
                <w:rFonts w:hint="eastAsia"/>
                <w:b/>
                <w:bCs/>
              </w:rPr>
              <w:t>数量</w:t>
            </w:r>
          </w:p>
        </w:tc>
        <w:tc>
          <w:tcPr>
            <w:tcW w:w="850" w:type="dxa"/>
            <w:tcBorders>
              <w:top w:val="single" w:color="000000" w:sz="4" w:space="0"/>
              <w:left w:val="single" w:color="000000" w:sz="4" w:space="0"/>
              <w:bottom w:val="single" w:color="000000" w:sz="4" w:space="0"/>
              <w:right w:val="single" w:color="000000" w:sz="4" w:space="0"/>
            </w:tcBorders>
            <w:shd w:val="clear" w:color="auto" w:fill="C6D9F0" w:themeFill="text2" w:themeFillTint="33"/>
            <w:vAlign w:val="center"/>
          </w:tcPr>
          <w:p>
            <w:pPr>
              <w:jc w:val="center"/>
              <w:rPr>
                <w:b/>
                <w:bCs/>
              </w:rPr>
            </w:pPr>
            <w:r>
              <w:rPr>
                <w:rFonts w:hint="eastAsia"/>
                <w:b/>
                <w:bCs/>
              </w:rPr>
              <w:t>单位</w:t>
            </w:r>
          </w:p>
        </w:tc>
        <w:tc>
          <w:tcPr>
            <w:tcW w:w="1542" w:type="dxa"/>
            <w:tcBorders>
              <w:top w:val="single" w:color="000000" w:sz="4" w:space="0"/>
              <w:left w:val="single" w:color="000000" w:sz="4" w:space="0"/>
              <w:bottom w:val="single" w:color="000000" w:sz="4" w:space="0"/>
              <w:right w:val="single" w:color="000000" w:sz="4" w:space="0"/>
            </w:tcBorders>
            <w:shd w:val="clear" w:color="auto" w:fill="C6D9F0" w:themeFill="text2" w:themeFillTint="33"/>
            <w:vAlign w:val="center"/>
          </w:tcPr>
          <w:p>
            <w:pPr>
              <w:jc w:val="center"/>
              <w:rPr>
                <w:b/>
                <w:bCs/>
              </w:rPr>
            </w:pPr>
            <w:r>
              <w:rPr>
                <w:rFonts w:hint="eastAsia"/>
                <w:b/>
                <w:bCs/>
              </w:rPr>
              <w:t>所属行业</w:t>
            </w:r>
          </w:p>
        </w:tc>
        <w:tc>
          <w:tcPr>
            <w:tcW w:w="1098" w:type="dxa"/>
            <w:tcBorders>
              <w:top w:val="single" w:color="000000" w:sz="4" w:space="0"/>
              <w:left w:val="single" w:color="000000" w:sz="4" w:space="0"/>
              <w:bottom w:val="single" w:color="000000" w:sz="4" w:space="0"/>
              <w:right w:val="single" w:color="000000" w:sz="4" w:space="0"/>
            </w:tcBorders>
            <w:shd w:val="clear" w:color="auto" w:fill="C6D9F0" w:themeFill="text2" w:themeFillTint="33"/>
            <w:vAlign w:val="center"/>
          </w:tcPr>
          <w:p>
            <w:pPr>
              <w:jc w:val="center"/>
              <w:rPr>
                <w:b/>
                <w:bCs/>
              </w:rPr>
            </w:pPr>
            <w:r>
              <w:rPr>
                <w:rFonts w:hint="eastAsia"/>
                <w:b/>
                <w:bCs/>
              </w:rPr>
              <w:t>备注</w:t>
            </w:r>
          </w:p>
        </w:tc>
      </w:tr>
      <w:tr>
        <w:tblPrEx>
          <w:tblCellMar>
            <w:top w:w="15" w:type="dxa"/>
            <w:left w:w="15" w:type="dxa"/>
            <w:bottom w:w="15" w:type="dxa"/>
            <w:right w:w="15" w:type="dxa"/>
          </w:tblCellMar>
        </w:tblPrEx>
        <w:trPr>
          <w:trHeight w:val="841" w:hRule="atLeast"/>
          <w:jc w:val="center"/>
        </w:trPr>
        <w:tc>
          <w:tcPr>
            <w:tcW w:w="691" w:type="dxa"/>
            <w:tcBorders>
              <w:top w:val="single" w:color="000000" w:sz="4" w:space="0"/>
              <w:left w:val="single" w:color="000000" w:sz="4" w:space="0"/>
              <w:bottom w:val="single" w:color="000000" w:sz="4" w:space="0"/>
              <w:right w:val="single" w:color="auto" w:sz="4" w:space="0"/>
            </w:tcBorders>
            <w:vAlign w:val="center"/>
          </w:tcPr>
          <w:p>
            <w:pPr>
              <w:jc w:val="center"/>
            </w:pPr>
            <w:r>
              <w:rPr>
                <w:rFonts w:hint="eastAsia"/>
              </w:rPr>
              <w:t>1</w:t>
            </w:r>
          </w:p>
        </w:tc>
        <w:tc>
          <w:tcPr>
            <w:tcW w:w="3969" w:type="dxa"/>
            <w:tcBorders>
              <w:top w:val="single" w:color="000000" w:sz="4" w:space="0"/>
              <w:left w:val="single" w:color="auto" w:sz="4" w:space="0"/>
              <w:bottom w:val="single" w:color="000000" w:sz="4" w:space="0"/>
              <w:right w:val="single" w:color="000000" w:sz="4" w:space="0"/>
            </w:tcBorders>
            <w:vAlign w:val="center"/>
          </w:tcPr>
          <w:p>
            <w:pPr>
              <w:jc w:val="center"/>
            </w:pPr>
            <w:r>
              <w:rPr>
                <w:rFonts w:hint="eastAsia"/>
              </w:rPr>
              <w:t>深圳市宝安职业教育集团第二校区2024年引进外籍教师国际课程服务</w:t>
            </w:r>
          </w:p>
          <w:p>
            <w:pPr>
              <w:jc w:val="center"/>
            </w:pPr>
            <w:r>
              <w:rPr>
                <w:rFonts w:hint="eastAsia"/>
              </w:rPr>
              <w:t>（A包）</w:t>
            </w:r>
          </w:p>
        </w:tc>
        <w:tc>
          <w:tcPr>
            <w:tcW w:w="869" w:type="dxa"/>
            <w:tcBorders>
              <w:top w:val="single" w:color="000000" w:sz="4" w:space="0"/>
              <w:left w:val="single" w:color="000000" w:sz="4" w:space="0"/>
              <w:bottom w:val="single" w:color="000000" w:sz="4" w:space="0"/>
              <w:right w:val="single" w:color="000000" w:sz="4" w:space="0"/>
            </w:tcBorders>
            <w:vAlign w:val="center"/>
          </w:tcPr>
          <w:p>
            <w:pPr>
              <w:jc w:val="center"/>
              <w:rPr>
                <w:bCs/>
              </w:rPr>
            </w:pPr>
            <w:r>
              <w:rPr>
                <w:rFonts w:hint="eastAsia"/>
                <w:bCs/>
              </w:rPr>
              <w:t>1</w:t>
            </w:r>
          </w:p>
        </w:tc>
        <w:tc>
          <w:tcPr>
            <w:tcW w:w="850" w:type="dxa"/>
            <w:tcBorders>
              <w:top w:val="single" w:color="000000" w:sz="4" w:space="0"/>
              <w:left w:val="single" w:color="000000" w:sz="4" w:space="0"/>
              <w:bottom w:val="single" w:color="000000" w:sz="4" w:space="0"/>
              <w:right w:val="single" w:color="000000" w:sz="4" w:space="0"/>
            </w:tcBorders>
            <w:vAlign w:val="center"/>
          </w:tcPr>
          <w:p>
            <w:pPr>
              <w:jc w:val="center"/>
              <w:rPr>
                <w:bCs/>
              </w:rPr>
            </w:pPr>
            <w:r>
              <w:rPr>
                <w:rFonts w:hint="eastAsia"/>
                <w:bCs/>
              </w:rPr>
              <w:t>项</w:t>
            </w:r>
          </w:p>
        </w:tc>
        <w:tc>
          <w:tcPr>
            <w:tcW w:w="1542" w:type="dxa"/>
            <w:tcBorders>
              <w:top w:val="single" w:color="000000" w:sz="4" w:space="0"/>
              <w:left w:val="single" w:color="000000" w:sz="4" w:space="0"/>
              <w:bottom w:val="single" w:color="000000" w:sz="4" w:space="0"/>
              <w:right w:val="single" w:color="000000" w:sz="4" w:space="0"/>
            </w:tcBorders>
            <w:vAlign w:val="center"/>
          </w:tcPr>
          <w:p>
            <w:pPr>
              <w:jc w:val="center"/>
              <w:rPr>
                <w:bCs/>
              </w:rPr>
            </w:pPr>
            <w:r>
              <w:rPr>
                <w:rFonts w:hint="eastAsia"/>
                <w:bCs/>
              </w:rPr>
              <w:t>其他未列明行业</w:t>
            </w:r>
          </w:p>
        </w:tc>
        <w:tc>
          <w:tcPr>
            <w:tcW w:w="1098" w:type="dxa"/>
            <w:tcBorders>
              <w:top w:val="single" w:color="000000" w:sz="4" w:space="0"/>
              <w:left w:val="single" w:color="000000" w:sz="4" w:space="0"/>
              <w:bottom w:val="single" w:color="000000" w:sz="4" w:space="0"/>
              <w:right w:val="single" w:color="000000" w:sz="4" w:space="0"/>
            </w:tcBorders>
            <w:vAlign w:val="center"/>
          </w:tcPr>
          <w:p>
            <w:pPr>
              <w:jc w:val="center"/>
              <w:rPr>
                <w:bCs/>
              </w:rPr>
            </w:pPr>
          </w:p>
        </w:tc>
      </w:tr>
    </w:tbl>
    <w:p/>
    <w:p>
      <w:r>
        <w:rPr>
          <w:rFonts w:hint="eastAsia" w:ascii="Arial" w:hAnsi="Arial" w:eastAsia="宋体" w:cs="Times New Roman"/>
          <w:b/>
          <w:sz w:val="32"/>
          <w:szCs w:val="32"/>
        </w:rPr>
        <w:t>项目概况如下：</w:t>
      </w:r>
    </w:p>
    <w:p>
      <w:pPr>
        <w:rPr>
          <w:rFonts w:asciiTheme="minorEastAsia" w:hAnsiTheme="minorEastAsia"/>
          <w:bCs/>
          <w:sz w:val="24"/>
          <w:szCs w:val="24"/>
          <w:highlight w:val="yellow"/>
        </w:rPr>
      </w:pPr>
      <w:r>
        <w:rPr>
          <w:rFonts w:hint="eastAsia" w:ascii="仿宋_GB2312" w:hAnsi="华文仿宋" w:eastAsia="仿宋_GB2312"/>
          <w:sz w:val="28"/>
          <w:szCs w:val="28"/>
        </w:rPr>
        <w:t>2017年，在国务院办公厅印发《关于深化产教融合的若干意见》等大力发展职业教育的政策支持下，深圳市宝安职业教育集团第二校区首次开设中德“双元制”实验班。现根据实验班发展需要，拟通过公开招标的方式引进1名外籍教师在校内开展外语教学活动，并配合学校对接德国学校组织、策划国际交流活动，旨在提高学生外语能力及国际化视野，推进特色专业建设，构建完善人才培养方案，提升高素质技术技能人才培养水平，进一步满足区域经济和行业发展需要，服务宝安对德（欧）合作。</w:t>
      </w:r>
    </w:p>
    <w:p>
      <w:pPr>
        <w:ind w:firstLine="420" w:firstLineChars="200"/>
      </w:pPr>
    </w:p>
    <w:p>
      <w:pPr>
        <w:ind w:firstLine="420" w:firstLineChars="200"/>
      </w:pPr>
    </w:p>
    <w:p>
      <w:pPr>
        <w:ind w:firstLine="420" w:firstLineChars="200"/>
      </w:pPr>
    </w:p>
    <w:p>
      <w:pPr>
        <w:ind w:firstLine="420" w:firstLineChars="200"/>
      </w:pPr>
    </w:p>
    <w:p>
      <w:pPr>
        <w:ind w:firstLine="420" w:firstLineChars="200"/>
      </w:pPr>
    </w:p>
    <w:p>
      <w:pPr>
        <w:ind w:firstLine="420" w:firstLineChars="200"/>
      </w:pPr>
    </w:p>
    <w:p>
      <w:pPr>
        <w:widowControl/>
        <w:jc w:val="center"/>
      </w:pPr>
      <w:bookmarkStart w:id="16" w:name="_Toc128884461"/>
      <w:r>
        <w:rPr>
          <w:rFonts w:hint="eastAsia"/>
        </w:rPr>
        <w:t>三、实质性条款</w:t>
      </w:r>
    </w:p>
    <w:tbl>
      <w:tblPr>
        <w:tblStyle w:val="16"/>
        <w:tblW w:w="81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5"/>
        <w:gridCol w:w="74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705" w:type="dxa"/>
            <w:vAlign w:val="center"/>
          </w:tcPr>
          <w:p>
            <w:r>
              <w:rPr>
                <w:rFonts w:hint="eastAsia"/>
              </w:rPr>
              <w:t>序号</w:t>
            </w:r>
          </w:p>
        </w:tc>
        <w:tc>
          <w:tcPr>
            <w:tcW w:w="7483" w:type="dxa"/>
            <w:vAlign w:val="center"/>
          </w:tcPr>
          <w:p>
            <w:pPr>
              <w:jc w:val="center"/>
            </w:pPr>
            <w:r>
              <w:rPr>
                <w:rFonts w:hint="eastAsia"/>
              </w:rPr>
              <w:t>实质性条款具体内容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5" w:type="dxa"/>
          </w:tcPr>
          <w:p>
            <w:pPr>
              <w:jc w:val="center"/>
            </w:pPr>
            <w:r>
              <w:rPr>
                <w:rFonts w:hint="eastAsia"/>
              </w:rPr>
              <w:t>1</w:t>
            </w:r>
          </w:p>
        </w:tc>
        <w:tc>
          <w:tcPr>
            <w:tcW w:w="7483" w:type="dxa"/>
          </w:tcPr>
          <w:p>
            <w:pPr>
              <w:jc w:val="center"/>
            </w:pPr>
            <w:r>
              <w:rPr>
                <w:rFonts w:hint="eastAsia"/>
              </w:rPr>
              <w:t>本项目招标文件中所有带★号条款内容</w:t>
            </w:r>
          </w:p>
        </w:tc>
      </w:tr>
      <w:bookmarkEnd w:id="16"/>
    </w:tbl>
    <w:p>
      <w:r>
        <w:rPr>
          <w:rFonts w:hint="eastAsia"/>
          <w:b/>
          <w:color w:val="FF0000"/>
        </w:rPr>
        <w:t>注</w:t>
      </w:r>
      <w:r>
        <w:rPr>
          <w:rFonts w:hint="eastAsia"/>
        </w:rPr>
        <w:t>：</w:t>
      </w:r>
      <w:r>
        <w:rPr>
          <w:rFonts w:hint="eastAsia"/>
          <w:b/>
          <w:color w:val="FF0000"/>
        </w:rPr>
        <w:t>上表所列内容为不可负偏离条款，负偏离将视为未实质性满足招标文件要求和条件作投标无效处理。</w:t>
      </w:r>
    </w:p>
    <w:p>
      <w:pPr>
        <w:rPr>
          <w:b/>
          <w:color w:val="FF0000"/>
        </w:rPr>
      </w:pPr>
    </w:p>
    <w:p>
      <w:pPr>
        <w:keepNext/>
        <w:keepLines/>
        <w:tabs>
          <w:tab w:val="left" w:pos="1680"/>
        </w:tabs>
        <w:spacing w:before="260" w:afterLines="25"/>
        <w:jc w:val="center"/>
        <w:outlineLvl w:val="2"/>
        <w:rPr>
          <w:rFonts w:ascii="Arial" w:hAnsi="Arial" w:eastAsia="宋体" w:cs="Times New Roman"/>
          <w:b/>
          <w:bCs/>
          <w:color w:val="FF0000"/>
          <w:sz w:val="32"/>
          <w:szCs w:val="32"/>
        </w:rPr>
      </w:pPr>
      <w:r>
        <w:rPr>
          <w:rFonts w:hint="eastAsia"/>
          <w:b/>
          <w:color w:val="FF0000"/>
          <w:sz w:val="32"/>
          <w:szCs w:val="32"/>
        </w:rPr>
        <w:t>★四</w:t>
      </w:r>
      <w:r>
        <w:rPr>
          <w:rFonts w:hint="eastAsia" w:ascii="Arial" w:hAnsi="Arial" w:eastAsia="宋体" w:cs="Times New Roman"/>
          <w:b/>
          <w:bCs/>
          <w:color w:val="FF0000"/>
          <w:sz w:val="32"/>
          <w:szCs w:val="32"/>
        </w:rPr>
        <w:t>、商务和服务条款部分</w:t>
      </w:r>
    </w:p>
    <w:p>
      <w:pPr>
        <w:rPr>
          <w:b/>
          <w:color w:val="FF0000"/>
        </w:rPr>
      </w:pPr>
      <w:r>
        <w:rPr>
          <w:rFonts w:hint="eastAsia"/>
          <w:b/>
          <w:color w:val="FF0000"/>
        </w:rPr>
        <w:t>1.本部分内容为项目正常开展的基本要求，均为★号条款要求，投标人必须完全响应满足本部分的全部内容，否则将导致投标无效。投标人是否满足本部分带★号条款要求，以《实质性条款响应情况表》响应为准。</w:t>
      </w:r>
    </w:p>
    <w:p>
      <w:pPr>
        <w:rPr>
          <w:b/>
          <w:color w:val="FF0000"/>
        </w:rPr>
      </w:pPr>
      <w:r>
        <w:rPr>
          <w:rFonts w:hint="eastAsia"/>
          <w:b/>
          <w:color w:val="FF0000"/>
        </w:rPr>
        <w:t>2.如投标人中标后被发现不能满足本部分带★号条款要求的，采购单位有权拒绝签订合同，一切后果由投标人承担。</w:t>
      </w:r>
    </w:p>
    <w:p>
      <w:pPr>
        <w:pStyle w:val="9"/>
        <w:rPr>
          <w:color w:val="FF0000"/>
        </w:rPr>
      </w:pPr>
    </w:p>
    <w:p>
      <w:pPr>
        <w:spacing w:line="520" w:lineRule="exact"/>
        <w:ind w:firstLine="562" w:firstLineChars="200"/>
        <w:jc w:val="left"/>
        <w:rPr>
          <w:rFonts w:ascii="仿宋_GB2312" w:hAnsi="仿宋_GB2312" w:eastAsia="仿宋_GB2312" w:cs="仿宋_GB2312"/>
          <w:sz w:val="28"/>
          <w:szCs w:val="28"/>
        </w:rPr>
      </w:pPr>
      <w:r>
        <w:rPr>
          <w:rFonts w:hint="eastAsia" w:ascii="仿宋_GB2312" w:hAnsi="仿宋_GB2312" w:eastAsia="仿宋_GB2312" w:cs="仿宋_GB2312"/>
          <w:b/>
          <w:bCs/>
          <w:sz w:val="28"/>
          <w:szCs w:val="28"/>
        </w:rPr>
        <w:t>1.服务期限：</w:t>
      </w:r>
      <w:r>
        <w:rPr>
          <w:rFonts w:hint="eastAsia" w:ascii="仿宋_GB2312" w:hAnsi="仿宋_GB2312" w:eastAsia="仿宋_GB2312" w:cs="仿宋_GB2312"/>
          <w:sz w:val="28"/>
          <w:szCs w:val="28"/>
        </w:rPr>
        <w:t>服务期限为1年。本项目为长期服务项目，合同期限可以延长，但最长不超过3年。</w:t>
      </w:r>
    </w:p>
    <w:p>
      <w:pPr>
        <w:spacing w:line="520" w:lineRule="exact"/>
        <w:ind w:firstLine="562" w:firstLineChars="200"/>
        <w:jc w:val="left"/>
        <w:rPr>
          <w:rFonts w:ascii="仿宋_GB2312" w:hAnsi="仿宋_GB2312" w:eastAsia="仿宋_GB2312" w:cs="仿宋_GB2312"/>
          <w:b/>
          <w:bCs/>
          <w:sz w:val="28"/>
          <w:szCs w:val="28"/>
        </w:rPr>
      </w:pPr>
      <w:r>
        <w:rPr>
          <w:rFonts w:hint="eastAsia" w:ascii="仿宋_GB2312" w:hAnsi="仿宋_GB2312" w:eastAsia="仿宋_GB2312" w:cs="仿宋_GB2312"/>
          <w:b/>
          <w:bCs/>
          <w:sz w:val="28"/>
          <w:szCs w:val="28"/>
        </w:rPr>
        <w:t>2.服务内容：</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（1）选派1名外籍教师为学校提供外语教学服务，提供以德语、英语为主的语言类课程，视情况开设学科类课程；</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（2）配合学校对接德国学校组织、策划国际交流活动。每自然年与德国学校或德国职业教育专家开展至少一次线上或线下交流活动（形式不限）；</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（3）投标人在中标后配备专职项目管理服务团队，含1名项目负责人及至少1名中方服务人员。</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4）外籍教师原则上应从事其母语国母语教学，并取得大学学士及以上学位且具有相关学科2年以上教育教学工作经历或者相关领域工作经历，满足以下情形之一的可以免除工作经历要求：①取得教育类、语言类或师范类学士及以上学位的；②取得所在国教师资格证书或取得符合要求的国际语言教学证书的；③外籍人员已获得博士学位。</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（5）外籍教师口音纯正，口语流利、品行优秀、无犯罪记录；</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（6）外籍教师身体健康（入境后必须经指定的中国医疗机构通过健康检查）；</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（7）在工作期间，外籍教师需配合学校参加与教学相关的活动的组织、策划等工作；</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8）外籍教师必须遵守中国有关外国专家管理规定，符合国家、省、市外国专家局、外事办和出入境管理部门等各级主管部门所规定的文教专家的引进条件，并持有符合国家、省、市外国专家局、外事办和出入境管理部门等各级主管部门所规定的所有合法手续及有效证件，符合相应课程类型对外籍教师的资质要求；</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（9）外籍教师必须遵守学校规章制度、工作时间，服从学校的教学安排。课程安排每周授课不超过16课时；</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（10）外籍教师的请假制度需遵照学校的要求，确实有事或疾病要按规定提前请假；</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（12）外籍教师需满足学校教学教研需求，着力提升宝安区基础教育国际化水平，促进宝安教育城市化、现代化、信息化、国际化。</w:t>
      </w:r>
    </w:p>
    <w:p>
      <w:pPr>
        <w:spacing w:line="520" w:lineRule="exact"/>
        <w:ind w:firstLine="562" w:firstLineChars="200"/>
        <w:rPr>
          <w:rFonts w:ascii="仿宋_GB2312" w:hAnsi="仿宋_GB2312" w:eastAsia="仿宋_GB2312" w:cs="仿宋_GB2312"/>
          <w:b/>
          <w:bCs/>
          <w:sz w:val="28"/>
          <w:szCs w:val="28"/>
        </w:rPr>
      </w:pPr>
      <w:r>
        <w:rPr>
          <w:rFonts w:hint="eastAsia" w:ascii="仿宋_GB2312" w:hAnsi="仿宋_GB2312" w:eastAsia="仿宋_GB2312" w:cs="仿宋_GB2312"/>
          <w:b/>
          <w:bCs/>
          <w:sz w:val="28"/>
          <w:szCs w:val="28"/>
        </w:rPr>
        <w:t>3.工作质量要求：</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1）中标供应商所提供的外籍教师需符合国家、省、市外国专家局、外事办和出入境管理部门等各级主管部门所规定的文教专家的引进条件。自合同签订之日起7天内，至少提供1.2倍的中标人数的候选名单及相关资料给采购单位。经采购单位审核及面试同意后，方可安排上岗。中标供应商需确保在合同签订之日起30天内，外籍教师到岗率达50%以上。</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2）中标供应商负责办理齐全符合国家、省、市外国专家局、外事办和出入境管理部门等各级主管部门所规定的关于外籍教师的所有合法手续和有效证件。外籍教师需持来华工作签证(Z签证)上岗，按照国家、省、市外国专家局、外事办和出入境管理部门等各级主管部门的规定在入境一个月内办理好外国人工作许可证和外国人居留许可。外籍教师的合法证件的复印件（工作签证、外国人工作许可证、外国人居留许可、护照、学历等证件）须提交采购单位存档及备查。外籍教师的管理工作参照《宝安区教育系统外籍教师管理办法（试行）》相关要求执行。</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3）中标供应商须安排符合前述要求的外籍教师按时到学校报到，未按时报到的外籍教师的相关费用按支付该外籍教师费用的日均扣除（扣除标准按照采购单位支付给中标供应商的类别分类核算，且以一年365天计算。下同）。中标供应商如无法按时提供外籍教师，日均扣除期限从该学年开学之日起计算。</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4）中标供应商负责外籍教师上岗前5-10天的培训工作，举办法律、法规和国情、市情教育讲座；负责对每名外籍教师定期举行继续教育或教研活动；所有培训项目均需在开学前一周提交计划与方案，方案需包含培训师、培训主题、培训时间及培训地点，并将所有培训情况形成书面资料向采购单位报备。</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5）外籍教师在正常教学过程中因疾病、意外等产生的医疗、陪护等问题，须全部由中标供应商按照相关法律法规负责，并办理相关手续。因意外、工伤、怀孕等不能胜任教学工作的，由中标供应商负责更换外籍教师执行剩余教学工作。外籍教师享受中国《劳动法》同等待遇，由中标供应商负责全面处理，与采购单位无关。</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6）若中标供应商提出更换外籍教师，中标供应商必须书面通知采购单位，并取得采购单位的书面同意。若中标供应商未获得采购单位同意擅自更换外籍教师，可视为中标供应商无效服务，按支付该外籍教师费用的日均扣除，日均扣除期限从擅自更换外籍教师的第一天起算。</w:t>
      </w:r>
    </w:p>
    <w:p>
      <w:pPr>
        <w:spacing w:line="520" w:lineRule="exact"/>
        <w:ind w:firstLine="562" w:firstLineChars="200"/>
        <w:jc w:val="left"/>
        <w:rPr>
          <w:rFonts w:ascii="仿宋_GB2312" w:hAnsi="仿宋_GB2312" w:eastAsia="仿宋_GB2312" w:cs="仿宋_GB2312"/>
          <w:sz w:val="28"/>
          <w:szCs w:val="28"/>
        </w:rPr>
      </w:pPr>
      <w:r>
        <w:rPr>
          <w:rFonts w:hint="eastAsia" w:ascii="仿宋_GB2312" w:hAnsi="仿宋_GB2312" w:eastAsia="仿宋_GB2312" w:cs="仿宋_GB2312"/>
          <w:b/>
          <w:bCs/>
          <w:sz w:val="28"/>
          <w:szCs w:val="28"/>
        </w:rPr>
        <w:t>4.后续服务要求</w:t>
      </w:r>
      <w:r>
        <w:rPr>
          <w:rFonts w:hint="eastAsia" w:ascii="仿宋_GB2312" w:hAnsi="仿宋_GB2312" w:eastAsia="仿宋_GB2312" w:cs="仿宋_GB2312"/>
          <w:sz w:val="28"/>
          <w:szCs w:val="28"/>
        </w:rPr>
        <w:t>：</w:t>
      </w:r>
    </w:p>
    <w:p>
      <w:pPr>
        <w:spacing w:line="520" w:lineRule="exact"/>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（1）服务期满后外籍教师撤出后教学内容交接工作；</w:t>
      </w:r>
    </w:p>
    <w:p>
      <w:pPr>
        <w:spacing w:line="520" w:lineRule="exact"/>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（2）整体工作材料整理总结；</w:t>
      </w:r>
    </w:p>
    <w:p>
      <w:pPr>
        <w:spacing w:line="520" w:lineRule="exact"/>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（3）与后续服务公司有序交接。</w:t>
      </w:r>
    </w:p>
    <w:p>
      <w:pPr>
        <w:spacing w:line="520" w:lineRule="exact"/>
        <w:ind w:firstLine="562" w:firstLineChars="200"/>
        <w:jc w:val="left"/>
        <w:rPr>
          <w:rFonts w:ascii="仿宋_GB2312" w:hAnsi="仿宋_GB2312" w:eastAsia="仿宋_GB2312" w:cs="仿宋_GB2312"/>
          <w:sz w:val="28"/>
          <w:szCs w:val="28"/>
        </w:rPr>
      </w:pPr>
      <w:r>
        <w:rPr>
          <w:rFonts w:hint="eastAsia" w:ascii="仿宋_GB2312" w:hAnsi="仿宋_GB2312" w:eastAsia="仿宋_GB2312" w:cs="仿宋_GB2312"/>
          <w:b/>
          <w:bCs/>
          <w:sz w:val="28"/>
          <w:szCs w:val="28"/>
        </w:rPr>
        <w:t>5.考核办法/验收方式</w:t>
      </w:r>
      <w:r>
        <w:rPr>
          <w:rFonts w:hint="eastAsia" w:ascii="仿宋_GB2312" w:hAnsi="仿宋_GB2312" w:eastAsia="仿宋_GB2312" w:cs="仿宋_GB2312"/>
          <w:sz w:val="28"/>
          <w:szCs w:val="28"/>
        </w:rPr>
        <w:t>：</w:t>
      </w:r>
    </w:p>
    <w:p>
      <w:pPr>
        <w:spacing w:line="520" w:lineRule="exact"/>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采购招标方有权对中标供应商的服务质量进行监督，对中标供应商所提供的外教以及相应的服务进行验收，如与招标书要求和中标承诺不符，采购方有权提出限期整改意见，并扣罚相关费用，如不按期整改，采购方有权终止合同。因法律、政策变动（包括教育局上级、主管部门行政性命令、教育经费被缩减等）导致合同无法继续履行的，双方均不承担违约责任，采购单位按已经发生的教学期间产生费用支付相应款项。</w:t>
      </w:r>
    </w:p>
    <w:p>
      <w:pPr>
        <w:tabs>
          <w:tab w:val="left" w:pos="420"/>
          <w:tab w:val="left" w:pos="540"/>
        </w:tabs>
        <w:spacing w:line="520" w:lineRule="exact"/>
        <w:ind w:firstLine="562" w:firstLineChars="200"/>
        <w:rPr>
          <w:rFonts w:ascii="仿宋_GB2312" w:hAnsi="仿宋_GB2312" w:eastAsia="仿宋_GB2312" w:cs="仿宋_GB2312"/>
          <w:b/>
          <w:bCs/>
          <w:sz w:val="28"/>
          <w:szCs w:val="28"/>
        </w:rPr>
      </w:pPr>
      <w:r>
        <w:rPr>
          <w:rFonts w:hint="eastAsia" w:ascii="仿宋_GB2312" w:hAnsi="仿宋_GB2312" w:eastAsia="仿宋_GB2312" w:cs="仿宋_GB2312"/>
          <w:b/>
          <w:bCs/>
          <w:sz w:val="28"/>
          <w:szCs w:val="28"/>
        </w:rPr>
        <w:t>6.报价要求：</w:t>
      </w:r>
    </w:p>
    <w:p>
      <w:pPr>
        <w:tabs>
          <w:tab w:val="left" w:pos="420"/>
          <w:tab w:val="left" w:pos="540"/>
        </w:tabs>
        <w:spacing w:line="520" w:lineRule="exact"/>
        <w:ind w:firstLine="560" w:firstLineChars="200"/>
        <w:rPr>
          <w:rFonts w:ascii="仿宋_GB2312" w:hAnsi="仿宋_GB2312" w:eastAsia="仿宋_GB2312" w:cs="仿宋_GB2312"/>
          <w:sz w:val="28"/>
          <w:szCs w:val="28"/>
          <w:lang w:val="zh-CN"/>
        </w:rPr>
      </w:pPr>
      <w:r>
        <w:rPr>
          <w:rFonts w:hint="eastAsia" w:ascii="仿宋_GB2312" w:hAnsi="仿宋_GB2312" w:eastAsia="仿宋_GB2312" w:cs="仿宋_GB2312"/>
          <w:color w:val="000000"/>
          <w:sz w:val="28"/>
          <w:szCs w:val="28"/>
          <w:lang w:val="zh-CN"/>
        </w:rPr>
        <w:t>（</w:t>
      </w:r>
      <w:r>
        <w:rPr>
          <w:rFonts w:hint="eastAsia"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lang w:val="zh-CN"/>
        </w:rPr>
        <w:t>）本项目最高限价为人民币</w:t>
      </w:r>
      <w:r>
        <w:rPr>
          <w:rFonts w:hint="eastAsia" w:ascii="仿宋_GB2312" w:hAnsi="仿宋_GB2312" w:eastAsia="仿宋_GB2312" w:cs="仿宋_GB2312"/>
          <w:color w:val="000000"/>
          <w:sz w:val="28"/>
          <w:szCs w:val="28"/>
        </w:rPr>
        <w:t>贰</w:t>
      </w:r>
      <w:r>
        <w:rPr>
          <w:rFonts w:hint="eastAsia" w:ascii="仿宋_GB2312" w:hAnsi="仿宋_GB2312" w:eastAsia="仿宋_GB2312" w:cs="仿宋_GB2312"/>
          <w:color w:val="000000"/>
          <w:sz w:val="28"/>
          <w:szCs w:val="28"/>
          <w:lang w:val="zh-CN"/>
        </w:rPr>
        <w:t>拾</w:t>
      </w:r>
      <w:r>
        <w:rPr>
          <w:rFonts w:hint="eastAsia" w:ascii="仿宋_GB2312" w:hAnsi="仿宋_GB2312" w:eastAsia="仿宋_GB2312" w:cs="仿宋_GB2312"/>
          <w:color w:val="000000"/>
          <w:sz w:val="28"/>
          <w:szCs w:val="28"/>
        </w:rPr>
        <w:t>捌</w:t>
      </w:r>
      <w:r>
        <w:rPr>
          <w:rFonts w:hint="eastAsia" w:ascii="仿宋_GB2312" w:hAnsi="仿宋_GB2312" w:eastAsia="仿宋_GB2312" w:cs="仿宋_GB2312"/>
          <w:color w:val="000000"/>
          <w:sz w:val="28"/>
          <w:szCs w:val="28"/>
          <w:lang w:val="zh-CN"/>
        </w:rPr>
        <w:t>万元整（￥</w:t>
      </w:r>
      <w:r>
        <w:rPr>
          <w:rFonts w:hint="eastAsia" w:ascii="仿宋_GB2312" w:hAnsi="仿宋_GB2312" w:eastAsia="仿宋_GB2312" w:cs="仿宋_GB2312"/>
          <w:color w:val="000000"/>
          <w:sz w:val="28"/>
          <w:szCs w:val="28"/>
        </w:rPr>
        <w:t>28</w:t>
      </w:r>
      <w:r>
        <w:rPr>
          <w:rFonts w:hint="eastAsia" w:ascii="仿宋_GB2312" w:hAnsi="仿宋_GB2312" w:eastAsia="仿宋_GB2312" w:cs="仿宋_GB2312"/>
          <w:color w:val="000000"/>
          <w:sz w:val="28"/>
          <w:szCs w:val="28"/>
          <w:lang w:val="zh-CN"/>
        </w:rPr>
        <w:t>0,000.00），超</w:t>
      </w:r>
      <w:r>
        <w:rPr>
          <w:rFonts w:hint="eastAsia" w:ascii="仿宋_GB2312" w:hAnsi="仿宋_GB2312" w:eastAsia="仿宋_GB2312" w:cs="仿宋_GB2312"/>
          <w:sz w:val="28"/>
          <w:szCs w:val="28"/>
          <w:lang w:val="zh-CN"/>
        </w:rPr>
        <w:t>出限价的报价作无效处理。</w:t>
      </w:r>
    </w:p>
    <w:p>
      <w:pPr>
        <w:tabs>
          <w:tab w:val="left" w:pos="420"/>
          <w:tab w:val="left" w:pos="540"/>
        </w:tabs>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lang w:val="zh-CN"/>
        </w:rPr>
        <w:t>（</w:t>
      </w:r>
      <w:r>
        <w:rPr>
          <w:rFonts w:hint="eastAsia" w:ascii="仿宋_GB2312" w:hAnsi="仿宋_GB2312" w:eastAsia="仿宋_GB2312" w:cs="仿宋_GB2312"/>
          <w:sz w:val="28"/>
          <w:szCs w:val="28"/>
        </w:rPr>
        <w:t>2</w:t>
      </w:r>
      <w:r>
        <w:rPr>
          <w:rFonts w:hint="eastAsia" w:ascii="仿宋_GB2312" w:hAnsi="仿宋_GB2312" w:eastAsia="仿宋_GB2312" w:cs="仿宋_GB2312"/>
          <w:sz w:val="28"/>
          <w:szCs w:val="28"/>
          <w:lang w:val="zh-CN"/>
        </w:rPr>
        <w:t>）成交价格是完成该项目的一切费用总和，包括服务人员的工资、医疗保险、社会保险、假期等和依法缴交各种税费。</w:t>
      </w:r>
    </w:p>
    <w:p>
      <w:pPr>
        <w:spacing w:line="520" w:lineRule="exact"/>
        <w:ind w:firstLine="562" w:firstLineChars="200"/>
        <w:jc w:val="left"/>
        <w:rPr>
          <w:rFonts w:ascii="仿宋_GB2312" w:hAnsi="仿宋_GB2312" w:eastAsia="仿宋_GB2312" w:cs="仿宋_GB2312"/>
          <w:b/>
          <w:bCs/>
          <w:sz w:val="28"/>
          <w:szCs w:val="28"/>
        </w:rPr>
      </w:pPr>
      <w:r>
        <w:rPr>
          <w:rFonts w:hint="eastAsia" w:ascii="仿宋_GB2312" w:hAnsi="仿宋_GB2312" w:eastAsia="仿宋_GB2312" w:cs="仿宋_GB2312"/>
          <w:b/>
          <w:bCs/>
          <w:sz w:val="28"/>
          <w:szCs w:val="28"/>
        </w:rPr>
        <w:t>7.付款方式：</w:t>
      </w:r>
    </w:p>
    <w:p>
      <w:pPr>
        <w:spacing w:line="520" w:lineRule="exact"/>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（1）第一期在合同签订之日起30天内，在提供课程服务的外籍教师足量到位的前提下，由学校支付合同总价的25%。</w:t>
      </w:r>
    </w:p>
    <w:p>
      <w:pPr>
        <w:spacing w:line="520" w:lineRule="exact"/>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（2）第二期在2024年第二季度内支付，由学校支付合同总价25%。</w:t>
      </w:r>
    </w:p>
    <w:p>
      <w:pPr>
        <w:spacing w:line="520" w:lineRule="exact"/>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（3）第三期在2024-2025学年秋季学期开学后30天内，在提供课程服务的外籍教师足量到位的前提下，由学校支付合同总价的25%。</w:t>
      </w:r>
    </w:p>
    <w:p>
      <w:pPr>
        <w:spacing w:line="520" w:lineRule="exact"/>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（4）第四期在2024年第四季度内支付，由学校结算项目余款。</w:t>
      </w:r>
    </w:p>
    <w:p>
      <w:pPr>
        <w:spacing w:line="520" w:lineRule="exact"/>
        <w:ind w:firstLine="562" w:firstLineChars="200"/>
        <w:jc w:val="left"/>
        <w:rPr>
          <w:rFonts w:ascii="仿宋_GB2312" w:hAnsi="仿宋_GB2312" w:eastAsia="仿宋_GB2312" w:cs="仿宋_GB2312"/>
          <w:b/>
          <w:bCs/>
          <w:sz w:val="28"/>
          <w:szCs w:val="28"/>
        </w:rPr>
      </w:pPr>
      <w:r>
        <w:rPr>
          <w:rFonts w:hint="eastAsia" w:ascii="仿宋_GB2312" w:hAnsi="仿宋_GB2312" w:eastAsia="仿宋_GB2312" w:cs="仿宋_GB2312"/>
          <w:b/>
          <w:bCs/>
          <w:sz w:val="28"/>
          <w:szCs w:val="28"/>
        </w:rPr>
        <w:t>8.其他需说明的事项</w:t>
      </w:r>
    </w:p>
    <w:p>
      <w:pPr>
        <w:tabs>
          <w:tab w:val="left" w:pos="420"/>
          <w:tab w:val="left" w:pos="540"/>
        </w:tabs>
        <w:spacing w:line="520" w:lineRule="exact"/>
        <w:ind w:firstLine="560" w:firstLineChars="200"/>
        <w:rPr>
          <w:rFonts w:ascii="仿宋_GB2312" w:hAnsi="仿宋_GB2312" w:eastAsia="仿宋_GB2312" w:cs="仿宋_GB2312"/>
          <w:color w:val="000000"/>
          <w:sz w:val="28"/>
          <w:szCs w:val="28"/>
          <w:lang w:val="zh-CN"/>
        </w:rPr>
      </w:pPr>
      <w:r>
        <w:rPr>
          <w:rFonts w:hint="eastAsia" w:ascii="仿宋_GB2312" w:hAnsi="仿宋_GB2312" w:eastAsia="仿宋_GB2312" w:cs="仿宋_GB2312"/>
          <w:color w:val="000000"/>
          <w:sz w:val="28"/>
          <w:szCs w:val="28"/>
          <w:lang w:val="zh-CN"/>
        </w:rPr>
        <w:t>（</w:t>
      </w:r>
      <w:r>
        <w:rPr>
          <w:rFonts w:hint="eastAsia"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lang w:val="zh-CN"/>
        </w:rPr>
        <w:t>）成交供应商应及时安排好服务人员的工作，合同签订之日起2个</w:t>
      </w:r>
      <w:r>
        <w:rPr>
          <w:rFonts w:hint="eastAsia" w:ascii="仿宋_GB2312" w:hAnsi="仿宋_GB2312" w:eastAsia="仿宋_GB2312" w:cs="仿宋_GB2312"/>
          <w:color w:val="000000"/>
          <w:sz w:val="28"/>
          <w:szCs w:val="28"/>
        </w:rPr>
        <w:t>工作</w:t>
      </w:r>
      <w:r>
        <w:rPr>
          <w:rFonts w:hint="eastAsia" w:ascii="仿宋_GB2312" w:hAnsi="仿宋_GB2312" w:eastAsia="仿宋_GB2312" w:cs="仿宋_GB2312"/>
          <w:color w:val="000000"/>
          <w:sz w:val="28"/>
          <w:szCs w:val="28"/>
          <w:lang w:val="zh-CN"/>
        </w:rPr>
        <w:t>日内保证安排相关人员到采购单位，如有不合格的人员要及时更换，以确保所有服务人员按时到岗开展服务工作。</w:t>
      </w:r>
    </w:p>
    <w:p>
      <w:pPr>
        <w:tabs>
          <w:tab w:val="left" w:pos="420"/>
          <w:tab w:val="left" w:pos="540"/>
        </w:tabs>
        <w:spacing w:line="520" w:lineRule="exact"/>
        <w:ind w:firstLine="560" w:firstLineChars="200"/>
        <w:rPr>
          <w:rFonts w:ascii="仿宋_GB2312" w:hAnsi="仿宋_GB2312" w:eastAsia="仿宋_GB2312" w:cs="仿宋_GB2312"/>
          <w:color w:val="000000"/>
          <w:sz w:val="28"/>
          <w:szCs w:val="28"/>
          <w:lang w:val="zh-CN"/>
        </w:rPr>
      </w:pPr>
      <w:r>
        <w:rPr>
          <w:rFonts w:hint="eastAsia" w:ascii="仿宋_GB2312" w:hAnsi="仿宋_GB2312" w:eastAsia="仿宋_GB2312" w:cs="仿宋_GB2312"/>
          <w:color w:val="000000"/>
          <w:sz w:val="28"/>
          <w:szCs w:val="28"/>
          <w:lang w:val="zh-CN"/>
        </w:rPr>
        <w:t>（</w:t>
      </w:r>
      <w:r>
        <w:rPr>
          <w:rFonts w:hint="eastAsia"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lang w:val="zh-CN"/>
        </w:rPr>
        <w:t>）成交公司</w:t>
      </w:r>
      <w:r>
        <w:rPr>
          <w:rFonts w:hint="eastAsia" w:ascii="仿宋_GB2312" w:hAnsi="仿宋_GB2312" w:eastAsia="仿宋_GB2312" w:cs="仿宋_GB2312"/>
          <w:color w:val="000000"/>
          <w:sz w:val="28"/>
          <w:szCs w:val="28"/>
        </w:rPr>
        <w:t>拟排人员</w:t>
      </w:r>
      <w:r>
        <w:rPr>
          <w:rFonts w:hint="eastAsia" w:ascii="仿宋_GB2312" w:hAnsi="仿宋_GB2312" w:eastAsia="仿宋_GB2312" w:cs="仿宋_GB2312"/>
          <w:color w:val="000000"/>
          <w:sz w:val="28"/>
          <w:szCs w:val="28"/>
          <w:lang w:val="zh-CN"/>
        </w:rPr>
        <w:t>必须符合用人单位需求，</w:t>
      </w:r>
      <w:r>
        <w:rPr>
          <w:rFonts w:hint="eastAsia" w:ascii="仿宋_GB2312" w:hAnsi="仿宋_GB2312" w:eastAsia="仿宋_GB2312" w:cs="仿宋_GB2312"/>
          <w:color w:val="000000"/>
          <w:sz w:val="28"/>
          <w:szCs w:val="28"/>
        </w:rPr>
        <w:t>拟排人员完全</w:t>
      </w:r>
      <w:r>
        <w:rPr>
          <w:rFonts w:hint="eastAsia" w:ascii="仿宋_GB2312" w:hAnsi="仿宋_GB2312" w:eastAsia="仿宋_GB2312" w:cs="仿宋_GB2312"/>
          <w:color w:val="000000"/>
          <w:sz w:val="28"/>
          <w:szCs w:val="28"/>
          <w:lang w:val="zh-CN"/>
        </w:rPr>
        <w:t>遵守用人单位的教学管理规定，接受学校的工作安排、业务评估。</w:t>
      </w:r>
    </w:p>
    <w:p>
      <w:pPr>
        <w:tabs>
          <w:tab w:val="left" w:pos="420"/>
          <w:tab w:val="left" w:pos="540"/>
        </w:tabs>
        <w:spacing w:line="360" w:lineRule="auto"/>
        <w:ind w:firstLine="420" w:firstLineChars="200"/>
        <w:rPr>
          <w:rFonts w:ascii="宋体" w:hAnsi="宋体" w:eastAsia="宋体" w:cs="宋体"/>
          <w:color w:val="000000"/>
          <w:szCs w:val="21"/>
          <w:lang w:val="zh-CN"/>
        </w:rPr>
      </w:pPr>
    </w:p>
    <w:p>
      <w:pPr>
        <w:pStyle w:val="10"/>
        <w:rPr>
          <w:b/>
          <w:color w:val="FF0000"/>
        </w:rPr>
      </w:pPr>
    </w:p>
    <w:p>
      <w:pPr>
        <w:pStyle w:val="10"/>
        <w:rPr>
          <w:b/>
          <w:color w:val="FF0000"/>
        </w:rPr>
      </w:pPr>
    </w:p>
    <w:p>
      <w:pPr>
        <w:pStyle w:val="10"/>
        <w:rPr>
          <w:b/>
          <w:color w:val="FF0000"/>
        </w:rPr>
      </w:pPr>
    </w:p>
    <w:p>
      <w:pPr>
        <w:pStyle w:val="10"/>
        <w:rPr>
          <w:b/>
          <w:color w:val="FF0000"/>
        </w:rPr>
      </w:pPr>
    </w:p>
    <w:p>
      <w:pPr>
        <w:jc w:val="center"/>
        <w:outlineLvl w:val="2"/>
        <w:rPr>
          <w:b/>
          <w:sz w:val="32"/>
          <w:szCs w:val="32"/>
        </w:rPr>
      </w:pPr>
      <w:r>
        <w:rPr>
          <w:rFonts w:hint="eastAsia"/>
          <w:b/>
          <w:sz w:val="32"/>
          <w:szCs w:val="32"/>
        </w:rPr>
        <w:t>五、其他重要条款</w:t>
      </w:r>
    </w:p>
    <w:p>
      <w:pPr>
        <w:ind w:firstLine="420" w:firstLineChars="200"/>
        <w:rPr>
          <w:bCs/>
          <w:szCs w:val="21"/>
        </w:rPr>
      </w:pPr>
      <w:r>
        <w:rPr>
          <w:rFonts w:hint="eastAsia"/>
          <w:bCs/>
          <w:szCs w:val="21"/>
        </w:rPr>
        <w:t>1、本项目投标报价采用包干制，应包括成本、法定税费和相应的利润，应涵盖本项目招标范围和招标文件所列的各项内容中所述的全部。由投标人根据招标需求自行测算投标报价；一经中标，投标报价即作为中标单位与采购人签订的合同金额。</w:t>
      </w:r>
    </w:p>
    <w:p>
      <w:pPr>
        <w:pStyle w:val="6"/>
        <w:spacing w:beforeLines="25" w:afterLines="25"/>
        <w:ind w:firstLine="392" w:firstLineChars="187"/>
        <w:rPr>
          <w:rFonts w:ascii="宋体" w:hAnsi="宋体"/>
          <w:szCs w:val="21"/>
        </w:rPr>
      </w:pPr>
      <w:r>
        <w:rPr>
          <w:bCs/>
          <w:szCs w:val="21"/>
        </w:rPr>
        <w:t>2</w:t>
      </w:r>
      <w:r>
        <w:rPr>
          <w:rFonts w:hint="eastAsia"/>
          <w:bCs/>
          <w:szCs w:val="21"/>
        </w:rPr>
        <w:t>、投标人应充分了解项目的位置、情况、道路及任何其它足以影响投标报价的情况，任何因忽视或误解项目情况而导致的索赔或服务期限延长申请将不获批准。</w:t>
      </w:r>
    </w:p>
    <w:p>
      <w:pPr>
        <w:ind w:firstLine="420" w:firstLineChars="200"/>
        <w:rPr>
          <w:bCs/>
          <w:szCs w:val="21"/>
        </w:rPr>
      </w:pPr>
      <w:r>
        <w:rPr>
          <w:bCs/>
          <w:szCs w:val="21"/>
        </w:rPr>
        <w:t>3</w:t>
      </w:r>
      <w:r>
        <w:rPr>
          <w:rFonts w:hint="eastAsia"/>
          <w:bCs/>
          <w:szCs w:val="21"/>
        </w:rPr>
        <w:t>、投标人不得期望通过索赔等方式获取补偿，否则，除可能遭到拒绝外，还可能将被作为不良行为记录在案，并可能影响其以后参加政府采购的项目投标。各投标人在投标报价时，应充分考虑投标报价的风险。</w:t>
      </w:r>
    </w:p>
    <w:p>
      <w:pPr>
        <w:ind w:firstLine="420" w:firstLineChars="200"/>
        <w:rPr>
          <w:bCs/>
          <w:szCs w:val="21"/>
        </w:rPr>
      </w:pPr>
      <w:r>
        <w:rPr>
          <w:bCs/>
          <w:szCs w:val="21"/>
        </w:rPr>
        <w:t>4</w:t>
      </w:r>
      <w:r>
        <w:rPr>
          <w:rFonts w:hint="eastAsia"/>
          <w:bCs/>
          <w:szCs w:val="21"/>
        </w:rPr>
        <w:t>、鼓励采购人积极运用公共信用信息，明确对信用记录良好的供应商（特别是中小微企业）免收履约保证金，确需收取履约保证金的，列明通过保函等非现金方式收取。在采购合同中明确对上述企业加大首付款或预付款比例，具体由采购人根据项目实际情况确定。</w:t>
      </w:r>
    </w:p>
    <w:p>
      <w:pPr>
        <w:ind w:firstLine="420" w:firstLineChars="200"/>
        <w:rPr>
          <w:bCs/>
          <w:szCs w:val="21"/>
        </w:rPr>
      </w:pPr>
      <w:r>
        <w:rPr>
          <w:bCs/>
          <w:szCs w:val="21"/>
        </w:rPr>
        <w:t>5</w:t>
      </w:r>
      <w:r>
        <w:rPr>
          <w:rFonts w:hint="eastAsia"/>
          <w:bCs/>
          <w:szCs w:val="21"/>
        </w:rPr>
        <w:t>、除政府采购合同继续履行将损害国家利益和社会公共利益外，双方当事人不得擅自变更、中止或者终止合同。</w:t>
      </w:r>
    </w:p>
    <w:p>
      <w:pPr>
        <w:ind w:firstLine="420" w:firstLineChars="200"/>
        <w:rPr>
          <w:bCs/>
          <w:szCs w:val="21"/>
        </w:rPr>
      </w:pPr>
      <w:r>
        <w:rPr>
          <w:bCs/>
          <w:szCs w:val="21"/>
        </w:rPr>
        <w:t>6</w:t>
      </w:r>
      <w:r>
        <w:rPr>
          <w:rFonts w:hint="eastAsia"/>
          <w:bCs/>
          <w:szCs w:val="21"/>
        </w:rPr>
        <w:t>、“信用中国”</w:t>
      </w:r>
      <w:r>
        <w:rPr>
          <w:rFonts w:ascii="宋体" w:hAnsi="宋体" w:eastAsia="宋体" w:cs="宋体"/>
          <w:szCs w:val="21"/>
        </w:rPr>
        <w:t>中“信用服务”栏的“</w:t>
      </w:r>
      <w:r>
        <w:rPr>
          <w:rFonts w:hint="eastAsia" w:ascii="宋体" w:hAnsi="宋体" w:eastAsia="宋体" w:cs="宋体"/>
          <w:szCs w:val="21"/>
        </w:rPr>
        <w:t>重大税收违法失信主体</w:t>
      </w:r>
      <w:r>
        <w:rPr>
          <w:rFonts w:ascii="宋体" w:hAnsi="宋体" w:eastAsia="宋体" w:cs="宋体"/>
          <w:szCs w:val="21"/>
        </w:rPr>
        <w:t>”“失信被执行人”</w:t>
      </w:r>
      <w:r>
        <w:rPr>
          <w:rFonts w:hint="eastAsia" w:ascii="宋体" w:hAnsi="宋体" w:cs="宋体"/>
          <w:kern w:val="0"/>
          <w:szCs w:val="21"/>
        </w:rPr>
        <w:t>，</w:t>
      </w:r>
      <w:r>
        <w:rPr>
          <w:rFonts w:hint="eastAsia"/>
          <w:bCs/>
          <w:szCs w:val="21"/>
        </w:rPr>
        <w:t>“中国政府采购网”</w:t>
      </w:r>
      <w:r>
        <w:rPr>
          <w:rFonts w:ascii="宋体" w:hAnsi="宋体" w:eastAsia="宋体" w:cs="宋体"/>
          <w:szCs w:val="21"/>
        </w:rPr>
        <w:t>中的“政府采购严重违法失信行为记录名单”</w:t>
      </w:r>
      <w:r>
        <w:rPr>
          <w:rFonts w:hint="eastAsia" w:ascii="宋体" w:hAnsi="宋体" w:cs="宋体"/>
          <w:kern w:val="0"/>
          <w:szCs w:val="21"/>
        </w:rPr>
        <w:t>，</w:t>
      </w:r>
      <w:r>
        <w:rPr>
          <w:rFonts w:hint="eastAsia"/>
          <w:bCs/>
          <w:szCs w:val="21"/>
        </w:rPr>
        <w:t>“深圳信用网”以及“深圳市政府采购监管网”为供应商信用信息的查询渠道，相关信息以开标当日的查询结果为准。</w:t>
      </w:r>
    </w:p>
    <w:p>
      <w:pPr>
        <w:pStyle w:val="9"/>
        <w:rPr>
          <w:szCs w:val="21"/>
        </w:rPr>
      </w:pPr>
    </w:p>
    <w:p>
      <w:pPr>
        <w:pStyle w:val="10"/>
        <w:rPr>
          <w:bCs/>
          <w:szCs w:val="21"/>
        </w:rPr>
      </w:pPr>
    </w:p>
    <w:p>
      <w:pPr>
        <w:pStyle w:val="10"/>
        <w:rPr>
          <w:bCs/>
          <w:szCs w:val="21"/>
        </w:rPr>
      </w:pPr>
    </w:p>
    <w:p>
      <w:pPr>
        <w:pStyle w:val="10"/>
        <w:rPr>
          <w:bCs/>
          <w:szCs w:val="21"/>
        </w:rPr>
      </w:pPr>
    </w:p>
    <w:p>
      <w:pPr>
        <w:pStyle w:val="10"/>
        <w:rPr>
          <w:bCs/>
          <w:szCs w:val="21"/>
        </w:rPr>
      </w:pPr>
    </w:p>
    <w:p>
      <w:pPr>
        <w:pStyle w:val="10"/>
        <w:rPr>
          <w:bCs/>
          <w:szCs w:val="21"/>
        </w:rPr>
      </w:pPr>
    </w:p>
    <w:p>
      <w:pPr>
        <w:pStyle w:val="10"/>
        <w:rPr>
          <w:bCs/>
          <w:szCs w:val="21"/>
        </w:rPr>
      </w:pPr>
    </w:p>
    <w:p>
      <w:pPr>
        <w:pStyle w:val="10"/>
        <w:rPr>
          <w:bCs/>
          <w:szCs w:val="21"/>
        </w:rPr>
      </w:pPr>
    </w:p>
    <w:p>
      <w:pPr>
        <w:pStyle w:val="10"/>
        <w:rPr>
          <w:bCs/>
          <w:szCs w:val="21"/>
        </w:rPr>
      </w:pPr>
    </w:p>
    <w:p>
      <w:pPr>
        <w:pStyle w:val="10"/>
        <w:rPr>
          <w:bCs/>
          <w:szCs w:val="21"/>
        </w:rPr>
      </w:pPr>
    </w:p>
    <w:p>
      <w:pPr>
        <w:pStyle w:val="10"/>
        <w:rPr>
          <w:bCs/>
          <w:szCs w:val="21"/>
        </w:rPr>
      </w:pPr>
    </w:p>
    <w:p>
      <w:pPr>
        <w:pStyle w:val="10"/>
        <w:rPr>
          <w:bCs/>
          <w:szCs w:val="21"/>
        </w:rPr>
      </w:pPr>
    </w:p>
    <w:p>
      <w:pPr>
        <w:pStyle w:val="10"/>
        <w:rPr>
          <w:bCs/>
          <w:szCs w:val="21"/>
        </w:rPr>
      </w:pPr>
    </w:p>
    <w:p>
      <w:pPr>
        <w:pStyle w:val="10"/>
        <w:rPr>
          <w:bCs/>
          <w:szCs w:val="21"/>
        </w:rPr>
      </w:pPr>
    </w:p>
    <w:p>
      <w:pPr>
        <w:pStyle w:val="10"/>
        <w:rPr>
          <w:bCs/>
          <w:szCs w:val="21"/>
        </w:rPr>
      </w:pPr>
    </w:p>
    <w:p>
      <w:pPr>
        <w:widowControl/>
        <w:jc w:val="left"/>
        <w:rPr>
          <w:rFonts w:ascii="宋体" w:hAnsi="宋体" w:eastAsia="黑体" w:cs="Times New Roman"/>
          <w:bCs/>
          <w:kern w:val="44"/>
          <w:sz w:val="28"/>
          <w:szCs w:val="44"/>
        </w:rPr>
      </w:pPr>
    </w:p>
    <w:p>
      <w:pPr>
        <w:keepNext/>
        <w:keepLines/>
        <w:adjustRightInd w:val="0"/>
        <w:spacing w:line="320" w:lineRule="atLeast"/>
        <w:jc w:val="center"/>
        <w:textAlignment w:val="baseline"/>
        <w:outlineLvl w:val="1"/>
        <w:rPr>
          <w:rFonts w:ascii="宋体" w:hAnsi="宋体" w:eastAsia="宋体" w:cs="Times New Roman"/>
          <w:b/>
          <w:bCs/>
          <w:kern w:val="0"/>
          <w:sz w:val="28"/>
          <w:szCs w:val="28"/>
        </w:rPr>
      </w:pPr>
      <w:r>
        <w:rPr>
          <w:rFonts w:hint="eastAsia" w:ascii="宋体" w:hAnsi="宋体" w:eastAsia="宋体" w:cs="Times New Roman"/>
          <w:b/>
          <w:bCs/>
          <w:kern w:val="0"/>
          <w:sz w:val="28"/>
          <w:szCs w:val="28"/>
        </w:rPr>
        <w:t>第四章 投标文件组成要求及格式</w:t>
      </w:r>
    </w:p>
    <w:p>
      <w:pPr>
        <w:spacing w:line="320" w:lineRule="atLeast"/>
        <w:outlineLvl w:val="2"/>
        <w:rPr>
          <w:rFonts w:ascii="宋体" w:hAnsi="宋体" w:eastAsia="宋体" w:cs="宋体"/>
          <w:b/>
          <w:bCs/>
          <w:color w:val="FF0000"/>
          <w:sz w:val="24"/>
          <w:szCs w:val="24"/>
        </w:rPr>
      </w:pPr>
      <w:r>
        <w:rPr>
          <w:rFonts w:hint="eastAsia" w:ascii="宋体" w:hAnsi="宋体" w:eastAsia="宋体" w:cs="宋体"/>
          <w:b/>
          <w:bCs/>
          <w:color w:val="FF0000"/>
          <w:sz w:val="24"/>
          <w:szCs w:val="24"/>
        </w:rPr>
        <w:t>特别提醒：</w:t>
      </w:r>
    </w:p>
    <w:p>
      <w:pPr>
        <w:tabs>
          <w:tab w:val="left" w:pos="1470"/>
        </w:tabs>
        <w:snapToGrid w:val="0"/>
        <w:spacing w:line="320" w:lineRule="atLeast"/>
        <w:ind w:firstLine="482" w:firstLineChars="200"/>
        <w:rPr>
          <w:rFonts w:ascii="宋体" w:hAnsi="宋体" w:eastAsia="宋体" w:cs="宋体"/>
          <w:b/>
          <w:color w:val="FF0000"/>
          <w:sz w:val="24"/>
          <w:szCs w:val="24"/>
        </w:rPr>
      </w:pPr>
      <w:r>
        <w:rPr>
          <w:rFonts w:hint="eastAsia" w:ascii="宋体" w:hAnsi="宋体" w:eastAsia="宋体" w:cs="宋体"/>
          <w:b/>
          <w:color w:val="FF0000"/>
          <w:sz w:val="24"/>
          <w:szCs w:val="24"/>
        </w:rPr>
        <w:t>1、投标文件正文将对外公开，投标文件附件不公开。投标人在编辑投标文件时，在投标文件目录中属于本节点内容的必须在本节点中填写，填写到其他节点或附件的将可能导致投标无效，一切后果由供应商自行承担。</w:t>
      </w:r>
    </w:p>
    <w:p>
      <w:pPr>
        <w:tabs>
          <w:tab w:val="left" w:pos="1470"/>
        </w:tabs>
        <w:snapToGrid w:val="0"/>
        <w:spacing w:line="320" w:lineRule="atLeast"/>
        <w:ind w:firstLine="482" w:firstLineChars="200"/>
        <w:rPr>
          <w:rFonts w:ascii="宋体" w:hAnsi="宋体" w:eastAsia="宋体" w:cs="宋体"/>
          <w:b/>
          <w:bCs/>
          <w:color w:val="FF0000"/>
          <w:sz w:val="24"/>
          <w:szCs w:val="24"/>
        </w:rPr>
      </w:pPr>
      <w:r>
        <w:rPr>
          <w:rFonts w:hint="eastAsia" w:ascii="宋体" w:hAnsi="宋体" w:eastAsia="宋体" w:cs="宋体"/>
          <w:b/>
          <w:color w:val="FF0000"/>
          <w:sz w:val="24"/>
          <w:szCs w:val="24"/>
        </w:rPr>
        <w:t>2、投标文件正文（信息公开部分）必须编制于“正文（公开部分）”部分，投标文件附件（非信息公开部分）必须编制于“附件（不公开部分）”部分。</w:t>
      </w:r>
    </w:p>
    <w:p>
      <w:pPr>
        <w:tabs>
          <w:tab w:val="left" w:pos="1470"/>
        </w:tabs>
        <w:snapToGrid w:val="0"/>
        <w:spacing w:line="320" w:lineRule="atLeast"/>
        <w:rPr>
          <w:rFonts w:ascii="宋体" w:hAnsi="宋体" w:eastAsia="宋体" w:cs="宋体"/>
          <w:b/>
          <w:color w:val="FF0000"/>
          <w:sz w:val="24"/>
          <w:szCs w:val="24"/>
        </w:rPr>
      </w:pPr>
      <w:bookmarkStart w:id="17" w:name="_Hlk72257167"/>
      <w:r>
        <w:rPr>
          <w:rFonts w:hint="eastAsia" w:ascii="宋体" w:hAnsi="宋体" w:eastAsia="宋体" w:cs="宋体"/>
          <w:b/>
          <w:color w:val="FF0000"/>
          <w:sz w:val="24"/>
          <w:szCs w:val="24"/>
        </w:rPr>
        <w:t>3、政府集中采购机构公布投标文件正文（信息公开部分）时，如投标人误将涉及个人隐私的信息放入投标文件正文，相关后果由投标人自负；如投标人将必须放于投标文件正文（信息公开部分）的内容放入投标文件附件（非信息公开部分），将作投标无效处理。</w:t>
      </w:r>
    </w:p>
    <w:p>
      <w:pPr>
        <w:pStyle w:val="9"/>
      </w:pPr>
    </w:p>
    <w:bookmarkEnd w:id="17"/>
    <w:p>
      <w:pPr>
        <w:widowControl/>
        <w:spacing w:line="320" w:lineRule="atLeast"/>
        <w:jc w:val="left"/>
        <w:outlineLvl w:val="2"/>
        <w:rPr>
          <w:rFonts w:ascii="宋体" w:hAnsi="宋体" w:eastAsia="黑体" w:cs="Times New Roman"/>
          <w:bCs/>
          <w:kern w:val="44"/>
          <w:sz w:val="24"/>
          <w:szCs w:val="24"/>
        </w:rPr>
      </w:pPr>
      <w:r>
        <w:rPr>
          <w:rFonts w:hint="eastAsia" w:ascii="宋体" w:hAnsi="宋体" w:eastAsia="黑体" w:cs="Times New Roman"/>
          <w:bCs/>
          <w:kern w:val="44"/>
          <w:sz w:val="24"/>
          <w:szCs w:val="24"/>
        </w:rPr>
        <w:t>投标文件组成：</w:t>
      </w:r>
    </w:p>
    <w:p>
      <w:pPr>
        <w:snapToGrid w:val="0"/>
        <w:spacing w:line="320" w:lineRule="atLeast"/>
        <w:rPr>
          <w:rFonts w:ascii="Arial" w:hAnsi="Arial" w:eastAsia="宋体" w:cs="Arial"/>
          <w:b/>
          <w:color w:val="FF0000"/>
          <w:sz w:val="24"/>
          <w:szCs w:val="24"/>
        </w:rPr>
      </w:pPr>
      <w:r>
        <w:rPr>
          <w:rFonts w:hint="eastAsia" w:ascii="宋体" w:hAnsi="宋体" w:eastAsia="宋体" w:cs="宋体"/>
          <w:b/>
          <w:color w:val="FF0000"/>
          <w:kern w:val="0"/>
          <w:sz w:val="24"/>
          <w:szCs w:val="24"/>
        </w:rPr>
        <w:t>投标文件正文（信息公开部分）：</w:t>
      </w:r>
    </w:p>
    <w:p>
      <w:pPr>
        <w:numPr>
          <w:ilvl w:val="0"/>
          <w:numId w:val="1"/>
        </w:numPr>
        <w:snapToGrid w:val="0"/>
        <w:spacing w:line="320" w:lineRule="atLeast"/>
        <w:jc w:val="left"/>
        <w:rPr>
          <w:rFonts w:ascii="宋体" w:hAnsi="宋体" w:eastAsia="宋体" w:cs="Times New Roman"/>
          <w:sz w:val="24"/>
          <w:szCs w:val="24"/>
        </w:rPr>
      </w:pPr>
      <w:r>
        <w:rPr>
          <w:rFonts w:hint="eastAsia" w:ascii="宋体" w:hAnsi="宋体" w:eastAsia="宋体" w:cs="Times New Roman"/>
          <w:sz w:val="24"/>
          <w:szCs w:val="24"/>
        </w:rPr>
        <w:t>投标函；</w:t>
      </w:r>
    </w:p>
    <w:p>
      <w:pPr>
        <w:numPr>
          <w:ilvl w:val="0"/>
          <w:numId w:val="1"/>
        </w:numPr>
        <w:snapToGrid w:val="0"/>
        <w:spacing w:line="320" w:lineRule="atLeast"/>
        <w:jc w:val="left"/>
        <w:rPr>
          <w:rFonts w:ascii="宋体" w:hAnsi="宋体" w:eastAsia="宋体" w:cs="Times New Roman"/>
          <w:sz w:val="24"/>
          <w:szCs w:val="24"/>
          <w:highlight w:val="none"/>
        </w:rPr>
      </w:pPr>
      <w:bookmarkStart w:id="18" w:name="_Hlk72062521"/>
      <w:r>
        <w:rPr>
          <w:rFonts w:hint="eastAsia" w:ascii="宋体" w:hAnsi="宋体" w:eastAsia="宋体" w:cs="Times New Roman"/>
          <w:sz w:val="24"/>
          <w:szCs w:val="24"/>
          <w:highlight w:val="none"/>
        </w:rPr>
        <w:t>政府采购投标及履约承诺函</w:t>
      </w:r>
      <w:bookmarkEnd w:id="18"/>
      <w:r>
        <w:rPr>
          <w:rFonts w:hint="eastAsia" w:ascii="宋体" w:hAnsi="宋体" w:eastAsia="宋体" w:cs="Times New Roman"/>
          <w:sz w:val="24"/>
          <w:szCs w:val="24"/>
          <w:highlight w:val="none"/>
        </w:rPr>
        <w:t>；</w:t>
      </w:r>
    </w:p>
    <w:p>
      <w:pPr>
        <w:numPr>
          <w:ilvl w:val="0"/>
          <w:numId w:val="1"/>
        </w:numPr>
        <w:snapToGrid w:val="0"/>
        <w:spacing w:line="320" w:lineRule="atLeast"/>
        <w:jc w:val="left"/>
        <w:rPr>
          <w:rFonts w:ascii="宋体" w:hAnsi="宋体" w:eastAsia="宋体" w:cs="Times New Roman"/>
          <w:sz w:val="24"/>
          <w:szCs w:val="24"/>
          <w:highlight w:val="none"/>
        </w:rPr>
      </w:pPr>
      <w:r>
        <w:rPr>
          <w:rFonts w:hint="eastAsia" w:ascii="宋体" w:hAnsi="宋体" w:eastAsia="宋体" w:cs="Times New Roman"/>
          <w:sz w:val="24"/>
          <w:szCs w:val="24"/>
          <w:highlight w:val="none"/>
        </w:rPr>
        <w:t>营业执照或事业单位法人证书等；</w:t>
      </w:r>
    </w:p>
    <w:p>
      <w:pPr>
        <w:numPr>
          <w:ilvl w:val="0"/>
          <w:numId w:val="1"/>
        </w:numPr>
        <w:snapToGrid w:val="0"/>
        <w:spacing w:line="320" w:lineRule="atLeast"/>
        <w:jc w:val="left"/>
        <w:rPr>
          <w:rFonts w:ascii="宋体" w:hAnsi="宋体" w:eastAsia="宋体" w:cs="Times New Roman"/>
          <w:sz w:val="24"/>
          <w:szCs w:val="24"/>
          <w:highlight w:val="none"/>
        </w:rPr>
      </w:pPr>
      <w:r>
        <w:rPr>
          <w:rFonts w:hint="eastAsia" w:ascii="宋体" w:hAnsi="宋体" w:eastAsia="宋体" w:cs="Times New Roman"/>
          <w:sz w:val="24"/>
          <w:szCs w:val="24"/>
          <w:highlight w:val="none"/>
        </w:rPr>
        <w:t>中小企业相关声明函（如有）；</w:t>
      </w:r>
    </w:p>
    <w:p>
      <w:pPr>
        <w:numPr>
          <w:ilvl w:val="0"/>
          <w:numId w:val="1"/>
        </w:numPr>
        <w:snapToGrid w:val="0"/>
        <w:spacing w:line="320" w:lineRule="atLeast"/>
        <w:ind w:left="1456"/>
        <w:rPr>
          <w:rFonts w:ascii="宋体" w:hAnsi="宋体" w:eastAsia="宋体" w:cs="Times New Roman"/>
          <w:sz w:val="24"/>
          <w:szCs w:val="24"/>
          <w:highlight w:val="none"/>
        </w:rPr>
      </w:pPr>
      <w:r>
        <w:rPr>
          <w:rFonts w:hint="eastAsia" w:ascii="宋体" w:hAnsi="宋体" w:eastAsia="宋体" w:cs="Times New Roman"/>
          <w:bCs/>
          <w:sz w:val="24"/>
          <w:szCs w:val="24"/>
          <w:highlight w:val="none"/>
        </w:rPr>
        <w:t>分项报价清单；</w:t>
      </w:r>
    </w:p>
    <w:p>
      <w:pPr>
        <w:numPr>
          <w:ilvl w:val="0"/>
          <w:numId w:val="1"/>
        </w:numPr>
        <w:snapToGrid w:val="0"/>
        <w:spacing w:line="320" w:lineRule="atLeast"/>
        <w:ind w:left="1456"/>
        <w:rPr>
          <w:rFonts w:ascii="宋体" w:hAnsi="宋体" w:eastAsia="宋体" w:cs="Times New Roman"/>
          <w:sz w:val="24"/>
          <w:szCs w:val="24"/>
          <w:highlight w:val="none"/>
        </w:rPr>
      </w:pPr>
      <w:r>
        <w:rPr>
          <w:rFonts w:hint="eastAsia" w:ascii="宋体" w:hAnsi="宋体" w:eastAsia="宋体" w:cs="Times New Roman"/>
          <w:sz w:val="24"/>
          <w:szCs w:val="24"/>
          <w:highlight w:val="none"/>
        </w:rPr>
        <w:t>同类业绩情况；</w:t>
      </w:r>
    </w:p>
    <w:p>
      <w:pPr>
        <w:numPr>
          <w:ilvl w:val="0"/>
          <w:numId w:val="1"/>
        </w:numPr>
        <w:snapToGrid w:val="0"/>
        <w:spacing w:line="320" w:lineRule="atLeast"/>
        <w:ind w:left="1456"/>
        <w:rPr>
          <w:rFonts w:ascii="宋体" w:hAnsi="宋体" w:eastAsia="宋体" w:cs="Times New Roman"/>
          <w:sz w:val="24"/>
          <w:szCs w:val="24"/>
        </w:rPr>
      </w:pPr>
      <w:r>
        <w:rPr>
          <w:rFonts w:hint="eastAsia" w:ascii="宋体" w:hAnsi="宋体" w:eastAsia="宋体" w:cs="Times New Roman"/>
          <w:sz w:val="24"/>
          <w:szCs w:val="24"/>
        </w:rPr>
        <w:t>投标人实力；</w:t>
      </w:r>
    </w:p>
    <w:p>
      <w:pPr>
        <w:numPr>
          <w:ilvl w:val="0"/>
          <w:numId w:val="1"/>
        </w:numPr>
        <w:snapToGrid w:val="0"/>
        <w:spacing w:line="320" w:lineRule="atLeast"/>
        <w:ind w:left="1456"/>
        <w:rPr>
          <w:rFonts w:ascii="宋体" w:hAnsi="宋体" w:eastAsia="宋体" w:cs="Times New Roman"/>
          <w:sz w:val="24"/>
          <w:szCs w:val="24"/>
        </w:rPr>
      </w:pPr>
      <w:r>
        <w:rPr>
          <w:rFonts w:hint="eastAsia" w:ascii="宋体" w:hAnsi="宋体" w:eastAsia="宋体" w:cs="Times New Roman"/>
          <w:sz w:val="24"/>
          <w:szCs w:val="24"/>
        </w:rPr>
        <w:t>其他招标文件要求或投标</w:t>
      </w:r>
      <w:bookmarkStart w:id="81" w:name="_GoBack"/>
      <w:bookmarkEnd w:id="81"/>
      <w:r>
        <w:rPr>
          <w:rFonts w:hint="eastAsia" w:ascii="宋体" w:hAnsi="宋体" w:eastAsia="宋体" w:cs="Times New Roman"/>
          <w:sz w:val="24"/>
          <w:szCs w:val="24"/>
        </w:rPr>
        <w:t>人认为需要补充的内容（公开）。</w:t>
      </w:r>
    </w:p>
    <w:p>
      <w:pPr>
        <w:snapToGrid w:val="0"/>
        <w:spacing w:line="320" w:lineRule="atLeast"/>
        <w:jc w:val="left"/>
        <w:rPr>
          <w:rFonts w:ascii="宋体" w:hAnsi="宋体" w:eastAsia="宋体" w:cs="宋体"/>
          <w:b/>
          <w:color w:val="FF0000"/>
          <w:kern w:val="0"/>
          <w:sz w:val="24"/>
          <w:szCs w:val="24"/>
        </w:rPr>
      </w:pPr>
      <w:r>
        <w:rPr>
          <w:rFonts w:hint="eastAsia" w:ascii="宋体" w:hAnsi="宋体" w:eastAsia="宋体" w:cs="宋体"/>
          <w:b/>
          <w:color w:val="FF0000"/>
          <w:kern w:val="0"/>
          <w:sz w:val="24"/>
          <w:szCs w:val="24"/>
        </w:rPr>
        <w:t>投标文件附件（信息不公开部分）：</w:t>
      </w:r>
    </w:p>
    <w:p>
      <w:pPr>
        <w:numPr>
          <w:ilvl w:val="0"/>
          <w:numId w:val="2"/>
        </w:numPr>
        <w:snapToGrid w:val="0"/>
        <w:spacing w:line="320" w:lineRule="atLeast"/>
        <w:rPr>
          <w:rFonts w:ascii="宋体" w:hAnsi="宋体" w:eastAsia="宋体" w:cs="Times New Roman"/>
          <w:sz w:val="24"/>
          <w:szCs w:val="24"/>
        </w:rPr>
      </w:pPr>
      <w:r>
        <w:rPr>
          <w:rFonts w:hint="eastAsia" w:ascii="宋体" w:hAnsi="宋体" w:eastAsia="宋体" w:cs="Times New Roman"/>
          <w:sz w:val="24"/>
          <w:szCs w:val="24"/>
        </w:rPr>
        <w:t>法定代表人（负责人）证明书</w:t>
      </w:r>
      <w:r>
        <w:rPr>
          <w:rFonts w:hint="eastAsia" w:ascii="Arial" w:hAnsi="Arial" w:eastAsia="宋体" w:cs="Arial"/>
          <w:sz w:val="24"/>
          <w:szCs w:val="24"/>
        </w:rPr>
        <w:t>；</w:t>
      </w:r>
    </w:p>
    <w:p>
      <w:pPr>
        <w:numPr>
          <w:ilvl w:val="0"/>
          <w:numId w:val="2"/>
        </w:numPr>
        <w:snapToGrid w:val="0"/>
        <w:spacing w:line="320" w:lineRule="atLeast"/>
        <w:rPr>
          <w:rFonts w:ascii="宋体" w:hAnsi="宋体" w:eastAsia="宋体" w:cs="Times New Roman"/>
          <w:sz w:val="24"/>
          <w:szCs w:val="24"/>
        </w:rPr>
      </w:pPr>
      <w:r>
        <w:rPr>
          <w:rFonts w:hint="eastAsia" w:ascii="宋体" w:hAnsi="宋体" w:eastAsia="宋体" w:cs="Times New Roman"/>
          <w:sz w:val="24"/>
          <w:szCs w:val="24"/>
        </w:rPr>
        <w:t>投标文件签署授权委托书；</w:t>
      </w:r>
    </w:p>
    <w:p>
      <w:pPr>
        <w:numPr>
          <w:ilvl w:val="0"/>
          <w:numId w:val="2"/>
        </w:numPr>
        <w:snapToGrid w:val="0"/>
        <w:spacing w:line="320" w:lineRule="atLeast"/>
        <w:rPr>
          <w:rFonts w:ascii="宋体" w:hAnsi="宋体" w:eastAsia="宋体" w:cs="Times New Roman"/>
          <w:sz w:val="24"/>
          <w:szCs w:val="24"/>
        </w:rPr>
      </w:pPr>
      <w:r>
        <w:rPr>
          <w:rFonts w:hint="eastAsia" w:ascii="宋体" w:hAnsi="宋体" w:eastAsia="宋体" w:cs="Times New Roman"/>
          <w:sz w:val="24"/>
          <w:szCs w:val="24"/>
        </w:rPr>
        <w:t>实质性条款响应情况表；</w:t>
      </w:r>
    </w:p>
    <w:p>
      <w:pPr>
        <w:numPr>
          <w:ilvl w:val="0"/>
          <w:numId w:val="2"/>
        </w:numPr>
        <w:snapToGrid w:val="0"/>
        <w:spacing w:line="320" w:lineRule="atLeast"/>
        <w:rPr>
          <w:rFonts w:ascii="宋体" w:hAnsi="宋体" w:eastAsia="宋体" w:cs="Times New Roman"/>
          <w:sz w:val="24"/>
          <w:szCs w:val="24"/>
        </w:rPr>
      </w:pPr>
      <w:r>
        <w:rPr>
          <w:rFonts w:hint="eastAsia" w:ascii="宋体" w:hAnsi="宋体" w:eastAsia="宋体" w:cs="Times New Roman"/>
          <w:sz w:val="24"/>
          <w:szCs w:val="24"/>
        </w:rPr>
        <w:t>项目整体设想及规划方案;</w:t>
      </w:r>
    </w:p>
    <w:p>
      <w:pPr>
        <w:numPr>
          <w:ilvl w:val="0"/>
          <w:numId w:val="2"/>
        </w:numPr>
        <w:snapToGrid w:val="0"/>
        <w:spacing w:line="320" w:lineRule="atLeast"/>
        <w:rPr>
          <w:rFonts w:ascii="宋体" w:hAnsi="宋体" w:eastAsia="宋体" w:cs="Times New Roman"/>
          <w:sz w:val="24"/>
          <w:szCs w:val="24"/>
        </w:rPr>
      </w:pPr>
      <w:r>
        <w:rPr>
          <w:rFonts w:hint="eastAsia" w:ascii="宋体" w:hAnsi="宋体" w:eastAsia="宋体" w:cs="Times New Roman"/>
          <w:sz w:val="24"/>
          <w:szCs w:val="24"/>
        </w:rPr>
        <w:t>项目重点难点分析、应对措施及相关的合理化建议;</w:t>
      </w:r>
    </w:p>
    <w:p>
      <w:pPr>
        <w:numPr>
          <w:ilvl w:val="0"/>
          <w:numId w:val="2"/>
        </w:numPr>
        <w:snapToGrid w:val="0"/>
        <w:spacing w:line="320" w:lineRule="atLeast"/>
        <w:rPr>
          <w:rFonts w:ascii="宋体" w:hAnsi="宋体" w:eastAsia="宋体" w:cs="Times New Roman"/>
          <w:sz w:val="24"/>
          <w:szCs w:val="24"/>
        </w:rPr>
      </w:pPr>
      <w:r>
        <w:rPr>
          <w:rFonts w:hint="eastAsia" w:ascii="宋体" w:hAnsi="宋体" w:eastAsia="宋体" w:cs="Times New Roman"/>
          <w:sz w:val="24"/>
          <w:szCs w:val="24"/>
        </w:rPr>
        <w:t>后勤保障服务方案;</w:t>
      </w:r>
    </w:p>
    <w:p>
      <w:pPr>
        <w:numPr>
          <w:ilvl w:val="0"/>
          <w:numId w:val="2"/>
        </w:numPr>
        <w:snapToGrid w:val="0"/>
        <w:spacing w:line="320" w:lineRule="atLeast"/>
        <w:rPr>
          <w:rFonts w:ascii="宋体" w:hAnsi="宋体" w:eastAsia="宋体" w:cs="Times New Roman"/>
          <w:sz w:val="24"/>
          <w:szCs w:val="24"/>
        </w:rPr>
      </w:pPr>
      <w:r>
        <w:rPr>
          <w:rFonts w:hint="eastAsia" w:ascii="宋体" w:hAnsi="宋体" w:eastAsia="宋体" w:cs="Times New Roman"/>
          <w:bCs/>
          <w:sz w:val="24"/>
          <w:szCs w:val="24"/>
        </w:rPr>
        <w:t>项目负责人（仅限1人）情况；</w:t>
      </w:r>
    </w:p>
    <w:p>
      <w:pPr>
        <w:numPr>
          <w:ilvl w:val="0"/>
          <w:numId w:val="2"/>
        </w:numPr>
        <w:snapToGrid w:val="0"/>
        <w:spacing w:line="320" w:lineRule="atLeast"/>
        <w:rPr>
          <w:rFonts w:ascii="宋体" w:hAnsi="宋体" w:eastAsia="宋体" w:cs="Times New Roman"/>
          <w:sz w:val="24"/>
          <w:szCs w:val="24"/>
        </w:rPr>
      </w:pPr>
      <w:r>
        <w:rPr>
          <w:rFonts w:hint="eastAsia" w:ascii="宋体" w:hAnsi="宋体" w:eastAsia="宋体" w:cs="Times New Roman"/>
          <w:sz w:val="24"/>
          <w:szCs w:val="24"/>
        </w:rPr>
        <w:t>项目团队拟派中方服务人员（不含项目负责人）；</w:t>
      </w:r>
    </w:p>
    <w:p>
      <w:pPr>
        <w:numPr>
          <w:ilvl w:val="0"/>
          <w:numId w:val="2"/>
        </w:numPr>
        <w:snapToGrid w:val="0"/>
        <w:spacing w:line="320" w:lineRule="atLeast"/>
        <w:rPr>
          <w:rFonts w:ascii="宋体" w:hAnsi="宋体" w:eastAsia="宋体" w:cs="Times New Roman"/>
          <w:sz w:val="24"/>
          <w:szCs w:val="24"/>
        </w:rPr>
      </w:pPr>
      <w:r>
        <w:rPr>
          <w:rFonts w:hint="eastAsia" w:ascii="宋体" w:hAnsi="宋体" w:eastAsia="宋体" w:cs="Times New Roman"/>
          <w:sz w:val="24"/>
          <w:szCs w:val="24"/>
        </w:rPr>
        <w:t>其他招标文件要求或投标人认为需要补充的内容（非公开）。</w:t>
      </w:r>
    </w:p>
    <w:p>
      <w:pPr>
        <w:spacing w:line="320" w:lineRule="atLeast"/>
        <w:rPr>
          <w:rFonts w:ascii="宋体" w:hAnsi="宋体"/>
          <w:b/>
          <w:sz w:val="24"/>
          <w:szCs w:val="24"/>
        </w:rPr>
      </w:pPr>
      <w:bookmarkStart w:id="19" w:name="_Hlk72257771"/>
      <w:r>
        <w:rPr>
          <w:rFonts w:hint="eastAsia" w:ascii="宋体" w:hAnsi="宋体"/>
          <w:b/>
          <w:sz w:val="24"/>
          <w:szCs w:val="24"/>
        </w:rPr>
        <w:t>备注：</w:t>
      </w:r>
    </w:p>
    <w:p>
      <w:pPr>
        <w:snapToGrid w:val="0"/>
        <w:spacing w:line="320" w:lineRule="atLeast"/>
        <w:ind w:firstLine="482" w:firstLineChars="200"/>
        <w:rPr>
          <w:rFonts w:ascii="宋体" w:hAnsi="宋体"/>
          <w:b/>
          <w:sz w:val="24"/>
          <w:szCs w:val="24"/>
        </w:rPr>
      </w:pPr>
      <w:r>
        <w:rPr>
          <w:rFonts w:hint="eastAsia" w:ascii="宋体" w:hAnsi="宋体"/>
          <w:b/>
          <w:sz w:val="24"/>
          <w:szCs w:val="24"/>
        </w:rPr>
        <w:t>1.本项目为网上电子投标项目，投标文件不需法人或授权委托人另行签字，无需加盖单位公章，招标文件专用条款另有规定的除外。</w:t>
      </w:r>
    </w:p>
    <w:p>
      <w:pPr>
        <w:snapToGrid w:val="0"/>
        <w:spacing w:line="320" w:lineRule="atLeast"/>
        <w:ind w:firstLine="482" w:firstLineChars="200"/>
        <w:rPr>
          <w:rFonts w:ascii="宋体" w:hAnsi="宋体" w:eastAsia="黑体" w:cs="Times New Roman"/>
          <w:bCs/>
          <w:kern w:val="44"/>
          <w:sz w:val="32"/>
          <w:szCs w:val="32"/>
        </w:rPr>
      </w:pPr>
      <w:bookmarkStart w:id="20" w:name="_Hlk72263559"/>
      <w:r>
        <w:rPr>
          <w:rFonts w:hint="eastAsia" w:ascii="宋体" w:hAnsi="宋体"/>
          <w:b/>
          <w:sz w:val="24"/>
          <w:szCs w:val="24"/>
        </w:rPr>
        <w:t>2.关于填写“开标一览表”的说明：“开标一览表”中除“投标总价”外，其他信息不作评审依据。</w:t>
      </w:r>
      <w:bookmarkEnd w:id="19"/>
      <w:bookmarkEnd w:id="20"/>
      <w:r>
        <w:rPr>
          <w:rFonts w:ascii="宋体" w:hAnsi="宋体" w:eastAsia="黑体" w:cs="Times New Roman"/>
          <w:bCs/>
          <w:kern w:val="44"/>
          <w:sz w:val="32"/>
          <w:szCs w:val="32"/>
        </w:rPr>
        <w:br w:type="page"/>
      </w:r>
    </w:p>
    <w:p>
      <w:pPr>
        <w:widowControl/>
        <w:jc w:val="left"/>
        <w:outlineLvl w:val="2"/>
        <w:rPr>
          <w:rFonts w:ascii="宋体" w:hAnsi="宋体" w:eastAsia="宋体" w:cs="宋体"/>
          <w:b/>
          <w:color w:val="FF0000"/>
          <w:kern w:val="0"/>
          <w:sz w:val="32"/>
          <w:szCs w:val="32"/>
        </w:rPr>
      </w:pPr>
      <w:r>
        <w:rPr>
          <w:rFonts w:hint="eastAsia" w:ascii="宋体" w:hAnsi="宋体" w:eastAsia="宋体" w:cs="宋体"/>
          <w:b/>
          <w:color w:val="FF0000"/>
          <w:kern w:val="0"/>
          <w:sz w:val="32"/>
          <w:szCs w:val="32"/>
        </w:rPr>
        <w:t>（一）投标文件正文（信息公开部分）</w:t>
      </w:r>
    </w:p>
    <w:p>
      <w:pPr>
        <w:keepNext/>
        <w:keepLines/>
        <w:adjustRightInd w:val="0"/>
        <w:snapToGrid w:val="0"/>
        <w:spacing w:line="360" w:lineRule="auto"/>
        <w:jc w:val="center"/>
        <w:textAlignment w:val="baseline"/>
        <w:outlineLvl w:val="3"/>
        <w:rPr>
          <w:rFonts w:ascii="宋体" w:hAnsi="宋体" w:eastAsia="宋体" w:cs="Times New Roman"/>
          <w:b/>
          <w:bCs/>
          <w:kern w:val="0"/>
          <w:sz w:val="24"/>
          <w:szCs w:val="20"/>
        </w:rPr>
      </w:pPr>
      <w:r>
        <w:rPr>
          <w:rFonts w:ascii="宋体" w:hAnsi="宋体" w:eastAsia="宋体" w:cs="Times New Roman"/>
          <w:b/>
          <w:bCs/>
          <w:kern w:val="0"/>
          <w:sz w:val="24"/>
          <w:szCs w:val="20"/>
        </w:rPr>
        <w:t>1.投标</w:t>
      </w:r>
      <w:r>
        <w:rPr>
          <w:rFonts w:hint="eastAsia" w:ascii="宋体" w:hAnsi="宋体" w:eastAsia="宋体" w:cs="Times New Roman"/>
          <w:b/>
          <w:bCs/>
          <w:kern w:val="0"/>
          <w:sz w:val="24"/>
          <w:szCs w:val="20"/>
        </w:rPr>
        <w:t>函</w:t>
      </w:r>
    </w:p>
    <w:p>
      <w:pPr>
        <w:snapToGrid w:val="0"/>
        <w:spacing w:line="360" w:lineRule="auto"/>
        <w:rPr>
          <w:rFonts w:ascii="Arial" w:hAnsi="Arial" w:eastAsia="宋体" w:cs="Times New Roman"/>
          <w:szCs w:val="24"/>
        </w:rPr>
      </w:pPr>
    </w:p>
    <w:p>
      <w:pPr>
        <w:snapToGrid w:val="0"/>
        <w:spacing w:line="360" w:lineRule="auto"/>
        <w:rPr>
          <w:rFonts w:ascii="Arial" w:hAnsi="Arial" w:eastAsia="宋体" w:cs="Arial"/>
          <w:szCs w:val="21"/>
          <w:u w:val="single"/>
        </w:rPr>
      </w:pPr>
      <w:r>
        <w:rPr>
          <w:rFonts w:ascii="Arial" w:hAnsi="Arial" w:eastAsia="宋体" w:cs="Arial"/>
          <w:szCs w:val="21"/>
        </w:rPr>
        <w:t>致：</w:t>
      </w:r>
      <w:r>
        <w:rPr>
          <w:rFonts w:hint="eastAsia" w:ascii="Arial" w:hAnsi="Arial" w:eastAsia="宋体" w:cs="Arial"/>
          <w:szCs w:val="21"/>
          <w:u w:val="single"/>
        </w:rPr>
        <w:t>深圳公共资源交易中心</w:t>
      </w:r>
    </w:p>
    <w:p>
      <w:pPr>
        <w:snapToGrid w:val="0"/>
        <w:spacing w:line="360" w:lineRule="auto"/>
        <w:rPr>
          <w:rFonts w:ascii="Arial" w:hAnsi="Arial" w:eastAsia="宋体" w:cs="Arial"/>
          <w:szCs w:val="21"/>
        </w:rPr>
      </w:pPr>
      <w:bookmarkStart w:id="21" w:name="_Hlk73818812"/>
      <w:r>
        <w:rPr>
          <w:rFonts w:hint="eastAsia" w:ascii="Arial" w:hAnsi="Arial" w:eastAsia="宋体" w:cs="Arial"/>
          <w:szCs w:val="21"/>
        </w:rPr>
        <w:t>1、根据已收到贵单位的项目编号为</w:t>
      </w:r>
      <w:r>
        <w:rPr>
          <w:rFonts w:hint="eastAsia" w:ascii="Arial" w:hAnsi="Arial" w:eastAsia="宋体" w:cs="Arial"/>
          <w:szCs w:val="21"/>
          <w:u w:val="single"/>
        </w:rPr>
        <w:t xml:space="preserve"> </w:t>
      </w:r>
      <w:r>
        <w:rPr>
          <w:rFonts w:ascii="Arial" w:hAnsi="Arial" w:eastAsia="宋体" w:cs="Arial"/>
          <w:szCs w:val="21"/>
          <w:u w:val="single"/>
        </w:rPr>
        <w:t>BAZXCG-2024-00099</w:t>
      </w:r>
      <w:r>
        <w:rPr>
          <w:rFonts w:hint="eastAsia" w:ascii="Arial" w:hAnsi="Arial" w:eastAsia="宋体" w:cs="Arial"/>
          <w:szCs w:val="21"/>
          <w:u w:val="single"/>
        </w:rPr>
        <w:t xml:space="preserve"> </w:t>
      </w:r>
      <w:r>
        <w:rPr>
          <w:rFonts w:hint="eastAsia" w:ascii="Arial" w:hAnsi="Arial" w:eastAsia="宋体" w:cs="Arial"/>
          <w:szCs w:val="21"/>
        </w:rPr>
        <w:t>的</w:t>
      </w:r>
      <w:r>
        <w:rPr>
          <w:rFonts w:hint="eastAsia" w:ascii="Arial" w:hAnsi="Arial" w:eastAsia="宋体" w:cs="Arial"/>
          <w:szCs w:val="21"/>
          <w:u w:val="single"/>
        </w:rPr>
        <w:t xml:space="preserve">  深圳市宝安职业教育集团第二校区2024年引进外籍教师国际课程服务 </w:t>
      </w:r>
      <w:r>
        <w:rPr>
          <w:rFonts w:hint="eastAsia" w:ascii="Arial" w:hAnsi="Arial" w:eastAsia="宋体" w:cs="Arial"/>
          <w:szCs w:val="21"/>
        </w:rPr>
        <w:t>项目的招标文件，遵照《深圳经济特区政府采购条例》和《深圳网上政府采购管理暂行办法》等有关规定，我单位经研究上述招标文件的专用条款及通用条款后，</w:t>
      </w:r>
      <w:bookmarkStart w:id="22" w:name="_Hlk72263588"/>
      <w:r>
        <w:rPr>
          <w:rFonts w:hint="eastAsia" w:ascii="Arial" w:hAnsi="Arial" w:eastAsia="宋体" w:cs="Arial"/>
          <w:szCs w:val="21"/>
        </w:rPr>
        <w:t>愿意按照招标文件要求承包上述项目并修补其任何缺陷。</w:t>
      </w:r>
      <w:bookmarkEnd w:id="22"/>
    </w:p>
    <w:p>
      <w:pPr>
        <w:snapToGrid w:val="0"/>
        <w:spacing w:line="360" w:lineRule="auto"/>
        <w:rPr>
          <w:rFonts w:ascii="Arial" w:hAnsi="Arial" w:eastAsia="宋体" w:cs="Arial"/>
          <w:szCs w:val="21"/>
        </w:rPr>
      </w:pPr>
      <w:r>
        <w:rPr>
          <w:rFonts w:ascii="Arial" w:hAnsi="Arial" w:eastAsia="宋体" w:cs="Arial"/>
          <w:szCs w:val="21"/>
        </w:rPr>
        <w:t>2</w:t>
      </w:r>
      <w:r>
        <w:rPr>
          <w:rFonts w:hint="eastAsia" w:ascii="Arial" w:hAnsi="Arial" w:eastAsia="宋体" w:cs="Arial"/>
          <w:szCs w:val="21"/>
        </w:rPr>
        <w:t>、投标价格见投标书编制软件中《开标一览表》中填写的投标总价。</w:t>
      </w:r>
    </w:p>
    <w:p>
      <w:pPr>
        <w:snapToGrid w:val="0"/>
        <w:spacing w:line="360" w:lineRule="auto"/>
        <w:rPr>
          <w:rFonts w:ascii="Arial" w:hAnsi="Arial" w:eastAsia="宋体" w:cs="Arial"/>
          <w:szCs w:val="21"/>
        </w:rPr>
      </w:pPr>
      <w:r>
        <w:rPr>
          <w:rFonts w:hint="eastAsia" w:ascii="Arial" w:hAnsi="Arial" w:eastAsia="宋体" w:cs="Arial"/>
          <w:szCs w:val="21"/>
        </w:rPr>
        <w:t>3、如果我单位中标，我单位将按照招标文件的要求足额提交履约担保。</w:t>
      </w:r>
    </w:p>
    <w:p>
      <w:pPr>
        <w:snapToGrid w:val="0"/>
        <w:spacing w:line="360" w:lineRule="auto"/>
        <w:rPr>
          <w:rFonts w:ascii="Arial" w:hAnsi="Arial" w:eastAsia="宋体" w:cs="Arial"/>
          <w:szCs w:val="21"/>
        </w:rPr>
      </w:pPr>
      <w:r>
        <w:rPr>
          <w:rFonts w:hint="eastAsia" w:ascii="Arial" w:hAnsi="Arial" w:eastAsia="宋体" w:cs="Arial"/>
          <w:szCs w:val="21"/>
        </w:rPr>
        <w:t>4、我单位同意所递交的投标文件在“对通用条款的补充内容”中明确的投标有效期内有效，在此期间内我单位的投标有可能中标，我方将受此约束。</w:t>
      </w:r>
    </w:p>
    <w:p>
      <w:pPr>
        <w:snapToGrid w:val="0"/>
        <w:spacing w:line="360" w:lineRule="auto"/>
        <w:rPr>
          <w:rFonts w:ascii="Arial" w:hAnsi="Arial" w:eastAsia="宋体" w:cs="Arial"/>
          <w:szCs w:val="21"/>
        </w:rPr>
      </w:pPr>
      <w:r>
        <w:rPr>
          <w:rFonts w:hint="eastAsia" w:ascii="Arial" w:hAnsi="Arial" w:eastAsia="宋体" w:cs="Arial"/>
          <w:szCs w:val="21"/>
        </w:rPr>
        <w:t>5、除非另外达成协议并生效，贵单位的中标通知书和本投标文件将构成合同的重要内容。</w:t>
      </w:r>
    </w:p>
    <w:p>
      <w:pPr>
        <w:snapToGrid w:val="0"/>
        <w:spacing w:line="360" w:lineRule="auto"/>
        <w:rPr>
          <w:rFonts w:ascii="Arial" w:hAnsi="Arial" w:eastAsia="宋体" w:cs="Arial"/>
          <w:szCs w:val="21"/>
        </w:rPr>
      </w:pPr>
      <w:r>
        <w:rPr>
          <w:rFonts w:hint="eastAsia" w:ascii="Arial" w:hAnsi="Arial" w:eastAsia="宋体" w:cs="Arial"/>
          <w:szCs w:val="21"/>
        </w:rPr>
        <w:t>6、我单位理解贵单位将不受必须接受所收到的最低报价或其它任何投标文件的约束。</w:t>
      </w:r>
      <w:bookmarkEnd w:id="21"/>
    </w:p>
    <w:p>
      <w:pPr>
        <w:snapToGrid w:val="0"/>
        <w:spacing w:line="360" w:lineRule="auto"/>
        <w:rPr>
          <w:rFonts w:ascii="Arial" w:hAnsi="Arial" w:eastAsia="宋体" w:cs="Arial"/>
          <w:b/>
          <w:szCs w:val="21"/>
        </w:rPr>
      </w:pPr>
      <w:r>
        <w:rPr>
          <w:rFonts w:hint="eastAsia" w:ascii="Arial" w:hAnsi="Arial" w:eastAsia="宋体" w:cs="Arial"/>
          <w:b/>
          <w:szCs w:val="21"/>
        </w:rPr>
        <w:t>7</w:t>
      </w:r>
      <w:r>
        <w:rPr>
          <w:rFonts w:ascii="Arial" w:hAnsi="Arial" w:eastAsia="宋体" w:cs="Arial"/>
          <w:b/>
          <w:szCs w:val="21"/>
        </w:rPr>
        <w:t>、如我单位提交样品，且未在规定时间内取回样品的，视同放弃取回，同意深圳公共资源交易中心对我单位提交的样品进行清理。</w:t>
      </w:r>
    </w:p>
    <w:p>
      <w:pPr>
        <w:snapToGrid w:val="0"/>
        <w:spacing w:line="360" w:lineRule="auto"/>
        <w:rPr>
          <w:rFonts w:ascii="Arial" w:hAnsi="Arial" w:eastAsia="宋体" w:cs="Arial"/>
          <w:b/>
          <w:szCs w:val="21"/>
        </w:rPr>
      </w:pPr>
    </w:p>
    <w:p>
      <w:pPr>
        <w:snapToGrid w:val="0"/>
        <w:spacing w:line="360" w:lineRule="auto"/>
        <w:rPr>
          <w:rFonts w:ascii="Arial" w:hAnsi="Arial" w:eastAsia="宋体" w:cs="Arial"/>
          <w:szCs w:val="21"/>
          <w:u w:val="single"/>
        </w:rPr>
      </w:pPr>
      <w:r>
        <w:rPr>
          <w:rFonts w:hint="eastAsia" w:ascii="Arial" w:hAnsi="Arial" w:eastAsia="宋体" w:cs="Arial"/>
          <w:szCs w:val="21"/>
        </w:rPr>
        <w:t>投标人：</w:t>
      </w:r>
    </w:p>
    <w:p>
      <w:pPr>
        <w:snapToGrid w:val="0"/>
        <w:spacing w:line="360" w:lineRule="auto"/>
        <w:rPr>
          <w:rFonts w:ascii="Arial" w:hAnsi="Arial" w:eastAsia="宋体" w:cs="Arial"/>
          <w:szCs w:val="21"/>
          <w:u w:val="single"/>
        </w:rPr>
      </w:pPr>
      <w:r>
        <w:rPr>
          <w:rFonts w:hint="eastAsia" w:ascii="Arial" w:hAnsi="Arial" w:eastAsia="宋体" w:cs="Arial"/>
          <w:szCs w:val="21"/>
        </w:rPr>
        <w:t>单位地址：</w:t>
      </w:r>
    </w:p>
    <w:p>
      <w:pPr>
        <w:snapToGrid w:val="0"/>
        <w:spacing w:line="360" w:lineRule="auto"/>
        <w:rPr>
          <w:rFonts w:ascii="Arial" w:hAnsi="Arial" w:eastAsia="宋体" w:cs="Arial"/>
          <w:szCs w:val="21"/>
          <w:u w:val="single"/>
        </w:rPr>
      </w:pPr>
      <w:r>
        <w:rPr>
          <w:rFonts w:hint="eastAsia" w:ascii="Arial" w:hAnsi="Arial" w:eastAsia="宋体" w:cs="Arial"/>
          <w:szCs w:val="21"/>
        </w:rPr>
        <w:t>法定代表人（负责人）或其授权委托代理人：</w:t>
      </w:r>
    </w:p>
    <w:p>
      <w:pPr>
        <w:pStyle w:val="9"/>
        <w:rPr>
          <w:rFonts w:ascii="Arial" w:hAnsi="Arial" w:eastAsia="宋体" w:cs="Arial"/>
          <w:b w:val="0"/>
          <w:bCs w:val="0"/>
          <w:szCs w:val="21"/>
          <w:u w:val="single"/>
        </w:rPr>
      </w:pPr>
      <w:r>
        <w:rPr>
          <w:rFonts w:hint="eastAsia" w:ascii="Arial" w:hAnsi="Arial" w:eastAsia="宋体" w:cs="Arial"/>
          <w:b w:val="0"/>
          <w:bCs w:val="0"/>
          <w:szCs w:val="21"/>
        </w:rPr>
        <w:t>开户银行名称：</w:t>
      </w:r>
    </w:p>
    <w:p>
      <w:pPr>
        <w:pStyle w:val="10"/>
        <w:rPr>
          <w:u w:val="single"/>
        </w:rPr>
      </w:pPr>
      <w:r>
        <w:rPr>
          <w:rFonts w:hint="eastAsia" w:ascii="Arial" w:hAnsi="Arial" w:eastAsia="宋体" w:cs="Arial"/>
          <w:szCs w:val="21"/>
        </w:rPr>
        <w:t>开户银行账号：</w:t>
      </w:r>
    </w:p>
    <w:p>
      <w:pPr>
        <w:snapToGrid w:val="0"/>
        <w:spacing w:line="360" w:lineRule="auto"/>
        <w:rPr>
          <w:rFonts w:ascii="Arial" w:hAnsi="Arial" w:eastAsia="宋体" w:cs="Arial"/>
          <w:szCs w:val="21"/>
        </w:rPr>
      </w:pPr>
      <w:r>
        <w:rPr>
          <w:rFonts w:hint="eastAsia" w:ascii="Arial" w:hAnsi="Arial" w:eastAsia="宋体" w:cs="Arial"/>
          <w:szCs w:val="21"/>
        </w:rPr>
        <w:t>邮政编码：</w:t>
      </w:r>
    </w:p>
    <w:p>
      <w:pPr>
        <w:snapToGrid w:val="0"/>
        <w:spacing w:line="360" w:lineRule="auto"/>
        <w:rPr>
          <w:rFonts w:ascii="Arial" w:hAnsi="Arial" w:eastAsia="宋体" w:cs="Arial"/>
          <w:szCs w:val="21"/>
        </w:rPr>
      </w:pPr>
      <w:r>
        <w:rPr>
          <w:rFonts w:hint="eastAsia" w:ascii="Arial" w:hAnsi="Arial" w:eastAsia="宋体" w:cs="Arial"/>
          <w:szCs w:val="21"/>
        </w:rPr>
        <w:t>电话：</w:t>
      </w:r>
    </w:p>
    <w:p>
      <w:pPr>
        <w:snapToGrid w:val="0"/>
        <w:spacing w:line="360" w:lineRule="auto"/>
        <w:rPr>
          <w:rFonts w:ascii="Arial" w:hAnsi="Arial" w:eastAsia="宋体" w:cs="Arial"/>
          <w:szCs w:val="21"/>
          <w:u w:val="single"/>
        </w:rPr>
      </w:pPr>
      <w:r>
        <w:rPr>
          <w:rFonts w:hint="eastAsia" w:ascii="Arial" w:hAnsi="Arial" w:eastAsia="宋体" w:cs="Arial"/>
          <w:szCs w:val="21"/>
        </w:rPr>
        <w:t>传真：</w:t>
      </w:r>
    </w:p>
    <w:p>
      <w:pPr>
        <w:snapToGrid w:val="0"/>
        <w:spacing w:line="360" w:lineRule="auto"/>
        <w:rPr>
          <w:rFonts w:ascii="Arial" w:hAnsi="Arial" w:eastAsia="宋体" w:cs="Arial"/>
          <w:szCs w:val="21"/>
        </w:rPr>
      </w:pPr>
      <w:r>
        <w:rPr>
          <w:rFonts w:hint="eastAsia" w:ascii="Arial" w:hAnsi="Arial" w:eastAsia="宋体" w:cs="Arial"/>
          <w:szCs w:val="21"/>
        </w:rPr>
        <w:t>邮箱：</w:t>
      </w:r>
    </w:p>
    <w:p>
      <w:pPr>
        <w:snapToGrid w:val="0"/>
        <w:spacing w:line="360" w:lineRule="auto"/>
        <w:rPr>
          <w:rFonts w:ascii="Arial" w:hAnsi="Arial" w:eastAsia="宋体" w:cs="Arial"/>
          <w:szCs w:val="21"/>
        </w:rPr>
      </w:pPr>
    </w:p>
    <w:p>
      <w:pPr>
        <w:snapToGrid w:val="0"/>
        <w:spacing w:line="360" w:lineRule="auto"/>
        <w:rPr>
          <w:rFonts w:ascii="Arial" w:hAnsi="Arial" w:eastAsia="宋体" w:cs="Arial"/>
          <w:szCs w:val="21"/>
        </w:rPr>
      </w:pPr>
      <w:r>
        <w:rPr>
          <w:rFonts w:hint="eastAsia" w:ascii="Arial" w:hAnsi="Arial" w:eastAsia="宋体" w:cs="Arial"/>
          <w:szCs w:val="21"/>
        </w:rPr>
        <w:t>日期： 年  月  日</w:t>
      </w:r>
    </w:p>
    <w:p>
      <w:pPr>
        <w:spacing w:afterLines="25" w:line="300" w:lineRule="auto"/>
        <w:ind w:firstLine="420" w:firstLineChars="200"/>
        <w:rPr>
          <w:rFonts w:ascii="Arial" w:hAnsi="Arial" w:eastAsia="宋体" w:cs="Times New Roman"/>
          <w:sz w:val="24"/>
          <w:szCs w:val="24"/>
        </w:rPr>
      </w:pPr>
      <w:r>
        <w:rPr>
          <w:rFonts w:hint="eastAsia" w:ascii="Arial" w:hAnsi="Arial" w:eastAsia="宋体" w:cs="Arial"/>
          <w:szCs w:val="24"/>
        </w:rPr>
        <w:t>备注：为缓解中小企业融资难题，我市推出政府采购订单融资改革举措。订单融资具体流程及试点金融机构订单融资服务承诺可参阅深圳市政府采购监管网（www.zfcg.sz.gov.cn）信息公开栏目或深圳政府采购网（www.cgzx.sz.gov.cn）政府采购订单融资栏目。如需解决融资难题，请投标人填写财务负责人或企业负责人联系方式，以便金融机构提供更精准的融资服务。财务负责人/企业负责人的联系方式（可选填项）：。</w:t>
      </w:r>
    </w:p>
    <w:p>
      <w:pPr>
        <w:keepNext/>
        <w:keepLines/>
        <w:pageBreakBefore/>
        <w:adjustRightInd w:val="0"/>
        <w:snapToGrid w:val="0"/>
        <w:spacing w:line="360" w:lineRule="auto"/>
        <w:jc w:val="center"/>
        <w:textAlignment w:val="baseline"/>
        <w:outlineLvl w:val="3"/>
        <w:rPr>
          <w:rFonts w:ascii="宋体" w:hAnsi="宋体" w:eastAsia="宋体" w:cs="Times New Roman"/>
          <w:b/>
          <w:bCs/>
          <w:kern w:val="0"/>
          <w:sz w:val="24"/>
          <w:szCs w:val="20"/>
        </w:rPr>
      </w:pPr>
      <w:r>
        <w:rPr>
          <w:rFonts w:hint="eastAsia" w:ascii="宋体" w:hAnsi="宋体" w:eastAsia="宋体" w:cs="Times New Roman"/>
          <w:b/>
          <w:bCs/>
          <w:kern w:val="0"/>
          <w:sz w:val="24"/>
          <w:szCs w:val="20"/>
        </w:rPr>
        <w:t>2.政府采购投标及履约承诺函</w:t>
      </w:r>
    </w:p>
    <w:p>
      <w:pPr>
        <w:adjustRightInd w:val="0"/>
        <w:snapToGrid w:val="0"/>
        <w:rPr>
          <w:rFonts w:ascii="宋体" w:hAnsi="宋体" w:eastAsia="宋体" w:cs="Times New Roman"/>
          <w:sz w:val="24"/>
          <w:szCs w:val="24"/>
        </w:rPr>
      </w:pPr>
      <w:r>
        <w:rPr>
          <w:rFonts w:hint="eastAsia" w:ascii="宋体" w:hAnsi="宋体" w:eastAsia="宋体" w:cs="Times New Roman"/>
          <w:sz w:val="24"/>
          <w:szCs w:val="24"/>
        </w:rPr>
        <w:t>致：</w:t>
      </w:r>
      <w:r>
        <w:rPr>
          <w:rFonts w:hint="eastAsia" w:ascii="宋体" w:hAnsi="宋体" w:eastAsia="宋体" w:cs="Times New Roman"/>
          <w:sz w:val="24"/>
          <w:szCs w:val="24"/>
          <w:u w:val="single"/>
        </w:rPr>
        <w:t>深圳公共资源交易中心</w:t>
      </w:r>
    </w:p>
    <w:p>
      <w:pPr>
        <w:ind w:right="-815" w:firstLine="420" w:firstLineChars="200"/>
        <w:rPr>
          <w:rFonts w:ascii="宋体" w:hAnsi="宋体"/>
          <w:szCs w:val="21"/>
        </w:rPr>
      </w:pPr>
      <w:r>
        <w:rPr>
          <w:rFonts w:hint="eastAsia" w:ascii="宋体" w:hAnsi="宋体"/>
          <w:szCs w:val="21"/>
        </w:rPr>
        <w:t>我单位承诺：</w:t>
      </w:r>
    </w:p>
    <w:p>
      <w:pPr>
        <w:ind w:firstLine="420" w:firstLineChars="200"/>
        <w:rPr>
          <w:rFonts w:ascii="宋体" w:hAnsi="宋体"/>
          <w:szCs w:val="21"/>
        </w:rPr>
      </w:pPr>
      <w:r>
        <w:rPr>
          <w:rFonts w:hint="eastAsia" w:ascii="宋体" w:hAnsi="宋体"/>
          <w:szCs w:val="21"/>
        </w:rPr>
        <w:t>1.我单位参与本项目</w:t>
      </w:r>
      <w:r>
        <w:rPr>
          <w:rFonts w:hint="eastAsia" w:ascii="宋体" w:hAnsi="宋体"/>
        </w:rPr>
        <w:t>所投标（响应）的货物、工程或服务，不存在侵犯知识产权的情况。</w:t>
      </w:r>
    </w:p>
    <w:p>
      <w:pPr>
        <w:ind w:firstLine="420" w:firstLineChars="200"/>
        <w:rPr>
          <w:rFonts w:ascii="宋体" w:hAnsi="宋体"/>
          <w:szCs w:val="21"/>
        </w:rPr>
      </w:pPr>
      <w:r>
        <w:rPr>
          <w:rFonts w:hint="eastAsia" w:ascii="宋体" w:hAnsi="宋体"/>
          <w:szCs w:val="21"/>
        </w:rPr>
        <w:t>2.我单位参与本项目</w:t>
      </w:r>
      <w:r>
        <w:rPr>
          <w:rFonts w:hint="eastAsia"/>
        </w:rPr>
        <w:t>政府采购活动时不存在被有关部门禁止参与政府采购活动且在有效期内的情况。</w:t>
      </w:r>
    </w:p>
    <w:p>
      <w:pPr>
        <w:ind w:firstLine="420" w:firstLineChars="200"/>
        <w:rPr>
          <w:rFonts w:ascii="宋体" w:hAnsi="宋体"/>
          <w:szCs w:val="21"/>
        </w:rPr>
      </w:pPr>
      <w:r>
        <w:rPr>
          <w:rFonts w:hint="eastAsia" w:ascii="宋体" w:hAnsi="宋体"/>
          <w:szCs w:val="21"/>
        </w:rPr>
        <w:t>3.我单位具备《中华人民共和国政府采购法》第二十二条第一款规定的六项条件。</w:t>
      </w:r>
    </w:p>
    <w:p>
      <w:pPr>
        <w:ind w:firstLine="420" w:firstLineChars="200"/>
        <w:rPr>
          <w:rFonts w:ascii="宋体" w:hAnsi="宋体" w:eastAsia="宋体"/>
          <w:szCs w:val="21"/>
        </w:rPr>
      </w:pPr>
      <w:r>
        <w:rPr>
          <w:rFonts w:hint="eastAsia" w:ascii="宋体" w:hAnsi="宋体"/>
          <w:szCs w:val="21"/>
        </w:rPr>
        <w:t>4.我单位</w:t>
      </w:r>
      <w:r>
        <w:rPr>
          <w:rFonts w:hint="eastAsia"/>
        </w:rPr>
        <w:t>未被列入失信被执行人、重大税收违法案件当事人名单、政府采购严重违法失信行为记录名单。</w:t>
      </w:r>
    </w:p>
    <w:p>
      <w:pPr>
        <w:ind w:firstLine="420" w:firstLineChars="200"/>
        <w:rPr>
          <w:rFonts w:ascii="宋体" w:hAnsi="宋体"/>
          <w:szCs w:val="21"/>
        </w:rPr>
      </w:pPr>
      <w:r>
        <w:rPr>
          <w:rFonts w:hint="eastAsia" w:ascii="宋体" w:hAnsi="宋体"/>
          <w:szCs w:val="21"/>
        </w:rPr>
        <w:t>5.我单位参与该项目投标，严格遵守政府采购相关法律，不造假，不围标、串标、陪标。我单位已清楚，如违反上述要求，投标将作无效处理，被列入不良记录名单并在网上曝光，同时将被提请政府采购主管部门给予一定年限内禁止参与政府采购活动或其他处罚。</w:t>
      </w:r>
    </w:p>
    <w:p>
      <w:pPr>
        <w:ind w:firstLine="420" w:firstLineChars="200"/>
        <w:rPr>
          <w:rFonts w:ascii="宋体" w:hAnsi="宋体"/>
          <w:szCs w:val="21"/>
        </w:rPr>
      </w:pPr>
      <w:r>
        <w:rPr>
          <w:rFonts w:hint="eastAsia" w:ascii="宋体" w:hAnsi="宋体"/>
          <w:szCs w:val="21"/>
        </w:rPr>
        <w:t>6.我单位如果中标，做到守信，不偷工减料，依照本项目招标文件需求内容、签署的采购合同及本单位在投标中所作的一切承诺履约。我单位对本项目的报价负责，中标后将严格按照本项目招标文件需求、签署的采购合同及我单位在投标中所作的全部承诺履行。</w:t>
      </w:r>
    </w:p>
    <w:p>
      <w:pPr>
        <w:ind w:firstLine="420" w:firstLineChars="200"/>
        <w:rPr>
          <w:rFonts w:ascii="宋体" w:hAnsi="宋体"/>
          <w:szCs w:val="21"/>
        </w:rPr>
      </w:pPr>
      <w:r>
        <w:rPr>
          <w:rFonts w:hint="eastAsia" w:ascii="宋体" w:hAnsi="宋体"/>
          <w:szCs w:val="21"/>
        </w:rPr>
        <w:t>我单位清楚，若以“报价太低而无法履约”为理由放弃本项目中标资格时，愿意接受主管部门的处理处罚。若我单位中标本项目，我单位的报价明显低于其他投标人的报价时，我单位清楚，本项目将成为重点监管、重点验收项目，我单位将按时保质保量完成，并全力配合有关监管、验收工作；若我单位未按上述要求履约，我单位愿意接受主管部门的处理处罚。</w:t>
      </w:r>
    </w:p>
    <w:p>
      <w:pPr>
        <w:ind w:firstLine="420" w:firstLineChars="200"/>
        <w:rPr>
          <w:rFonts w:ascii="宋体" w:hAnsi="宋体"/>
          <w:szCs w:val="21"/>
        </w:rPr>
      </w:pPr>
      <w:r>
        <w:rPr>
          <w:rFonts w:hint="eastAsia" w:ascii="宋体" w:hAnsi="宋体"/>
          <w:szCs w:val="21"/>
        </w:rPr>
        <w:t>7.我单位已认真核实了投标文件的全部内容，所有资料均为真实资料。我单位对投标文件中全部投标资料的真实性负责，如被证实我单位的投标文件中存在虚假资料的，则视为我单位隐瞒真实情况、提供虚假资料，我单位愿意接受主管部门作出的行政处罚。</w:t>
      </w:r>
    </w:p>
    <w:p>
      <w:pPr>
        <w:ind w:firstLine="420" w:firstLineChars="200"/>
        <w:rPr>
          <w:rFonts w:ascii="宋体" w:hAnsi="宋体"/>
          <w:szCs w:val="21"/>
        </w:rPr>
      </w:pPr>
      <w:r>
        <w:rPr>
          <w:rFonts w:hint="eastAsia" w:ascii="宋体" w:hAnsi="宋体"/>
          <w:szCs w:val="21"/>
        </w:rPr>
        <w:t>8.我单位承诺中标后项目不转包，未经采购人同意不进行分包。</w:t>
      </w:r>
    </w:p>
    <w:p>
      <w:pPr>
        <w:ind w:firstLine="420" w:firstLineChars="200"/>
        <w:rPr>
          <w:rFonts w:ascii="宋体" w:hAnsi="宋体"/>
        </w:rPr>
      </w:pPr>
      <w:r>
        <w:rPr>
          <w:rFonts w:hint="eastAsia" w:ascii="宋体" w:hAnsi="宋体"/>
          <w:szCs w:val="21"/>
        </w:rPr>
        <w:t>9</w:t>
      </w:r>
      <w:r>
        <w:rPr>
          <w:rFonts w:ascii="宋体" w:hAnsi="宋体"/>
          <w:szCs w:val="21"/>
        </w:rPr>
        <w:t>.</w:t>
      </w:r>
      <w:r>
        <w:rPr>
          <w:rFonts w:hint="eastAsia" w:ascii="宋体" w:hAnsi="宋体"/>
        </w:rPr>
        <w:t>我单位保证，其所提供的货物通过合法正规渠道供货，在提供给采购人前具有完全的所有权，采购人在中华人民共和国使用该货物或货物的任何一部分时，不会产生因第三方提出的包括但不限于侵犯其专利权、商标权、工业设计权等知识产权和侵犯其所有权、抵押权等物权及其他权利而引发的纠纷；如有纠纷，我单位承担全部责任。</w:t>
      </w:r>
    </w:p>
    <w:p>
      <w:pPr>
        <w:ind w:firstLine="420" w:firstLineChars="200"/>
        <w:rPr>
          <w:rFonts w:ascii="宋体" w:hAnsi="宋体" w:cs="宋体"/>
          <w:b/>
          <w:kern w:val="0"/>
          <w:szCs w:val="21"/>
        </w:rPr>
      </w:pPr>
      <w:r>
        <w:rPr>
          <w:rFonts w:hint="eastAsia" w:ascii="宋体" w:hAnsi="宋体"/>
        </w:rPr>
        <w:t>10</w:t>
      </w:r>
      <w:r>
        <w:rPr>
          <w:rFonts w:ascii="宋体" w:hAnsi="宋体"/>
        </w:rPr>
        <w:t>.我单位保证，若所投货物涉及《财政部生态环境部关于印发节能产品政府采购品目清单的通知》（财库〔2019〕19号）列明的政府采购强制产品，则所投该产品符合节能产品的认证要求。若所投产品包括数据中心相关设备的，应满足财政部《绿色数据中心政府采购需求标准（试行）》（财办库〔2023〕7号）要求。</w:t>
      </w:r>
    </w:p>
    <w:p>
      <w:pPr>
        <w:ind w:firstLine="420" w:firstLineChars="200"/>
        <w:rPr>
          <w:rFonts w:ascii="宋体" w:hAnsi="宋体"/>
          <w:bCs/>
        </w:rPr>
      </w:pPr>
      <w:r>
        <w:rPr>
          <w:rFonts w:hint="eastAsia" w:ascii="宋体" w:hAnsi="宋体" w:cs="宋体"/>
          <w:bCs/>
          <w:kern w:val="0"/>
          <w:szCs w:val="21"/>
        </w:rPr>
        <w:t>11.</w:t>
      </w:r>
      <w:r>
        <w:rPr>
          <w:rFonts w:hint="eastAsia" w:ascii="宋体" w:hAnsi="宋体"/>
          <w:bCs/>
        </w:rPr>
        <w:t xml:space="preserve"> 我单位已知悉并同意中标（成交）结果信息公示（公开）的内容。</w:t>
      </w:r>
    </w:p>
    <w:p>
      <w:pPr>
        <w:ind w:firstLine="420" w:firstLineChars="200"/>
        <w:rPr>
          <w:rFonts w:ascii="宋体" w:hAnsi="宋体"/>
          <w:bCs/>
        </w:rPr>
      </w:pPr>
      <w:r>
        <w:rPr>
          <w:rFonts w:hint="eastAsia" w:ascii="宋体" w:hAnsi="宋体"/>
          <w:bCs/>
        </w:rPr>
        <w:t>12.我单位保证，符合《中华人民共和国政府采购法实施条例》第十八条规定，与其他投标供应商不存在单位负责人为同一人或者存在直接控股、管理关系；未对本次采购项目提供整体设计、规范编制或者项目管理、监理、检测等服务的情形。如存在“不同供应商的董事、股东或其他高级管理人员为同一人的”情形的，承诺不存在串通投标、恶意串通或者视为串通投标的情形。</w:t>
      </w:r>
    </w:p>
    <w:p>
      <w:pPr>
        <w:ind w:firstLine="422" w:firstLineChars="200"/>
        <w:rPr>
          <w:rFonts w:ascii="宋体" w:hAnsi="宋体"/>
          <w:b/>
        </w:rPr>
      </w:pPr>
      <w:r>
        <w:rPr>
          <w:rFonts w:hint="eastAsia" w:ascii="宋体" w:hAnsi="宋体"/>
          <w:b/>
        </w:rPr>
        <w:t>13.我单位清楚，如存在违反投标承诺行为情节严重的，将根据《深圳市财政局关于印发&lt;深圳市财政局政府采购供应商信用信息管理办法&gt;的通知》，依法被列入失信信息。</w:t>
      </w:r>
    </w:p>
    <w:p>
      <w:pPr>
        <w:ind w:firstLine="420" w:firstLineChars="200"/>
        <w:rPr>
          <w:rFonts w:ascii="宋体" w:hAnsi="宋体" w:eastAsia="宋体" w:cs="Times New Roman"/>
          <w:szCs w:val="21"/>
        </w:rPr>
      </w:pPr>
      <w:r>
        <w:rPr>
          <w:rFonts w:hint="eastAsia" w:ascii="宋体" w:hAnsi="宋体" w:eastAsia="宋体" w:cs="Times New Roman"/>
          <w:szCs w:val="21"/>
        </w:rPr>
        <w:t>以上承诺，如有违反，愿依照国家相关法律法规处理，并承担由此给采购人带来的损失。</w:t>
      </w:r>
    </w:p>
    <w:p>
      <w:pPr>
        <w:ind w:firstLine="420" w:firstLineChars="200"/>
        <w:rPr>
          <w:rFonts w:ascii="宋体" w:hAnsi="宋体" w:eastAsia="宋体" w:cs="Times New Roman"/>
          <w:szCs w:val="21"/>
        </w:rPr>
      </w:pPr>
      <w:r>
        <w:rPr>
          <w:rFonts w:hint="eastAsia" w:ascii="宋体" w:hAnsi="宋体" w:eastAsia="宋体" w:cs="Times New Roman"/>
          <w:szCs w:val="21"/>
        </w:rPr>
        <w:t>投标单位（投标人）名称：</w:t>
      </w:r>
    </w:p>
    <w:p>
      <w:pPr>
        <w:ind w:firstLine="420" w:firstLineChars="200"/>
        <w:rPr>
          <w:rFonts w:ascii="宋体" w:hAnsi="宋体" w:eastAsia="宋体" w:cs="Times New Roman"/>
          <w:szCs w:val="21"/>
        </w:rPr>
      </w:pPr>
      <w:r>
        <w:rPr>
          <w:rFonts w:hint="eastAsia" w:ascii="宋体" w:hAnsi="宋体" w:eastAsia="宋体" w:cs="Times New Roman"/>
          <w:szCs w:val="21"/>
        </w:rPr>
        <w:t>年月日</w:t>
      </w:r>
    </w:p>
    <w:p>
      <w:pPr>
        <w:widowControl/>
        <w:rPr>
          <w:rFonts w:ascii="宋体" w:hAnsi="宋体" w:eastAsia="宋体" w:cs="Times New Roman"/>
          <w:b/>
          <w:color w:val="FF0000"/>
          <w:kern w:val="0"/>
          <w:sz w:val="24"/>
          <w:szCs w:val="24"/>
        </w:rPr>
      </w:pPr>
      <w:r>
        <w:rPr>
          <w:rFonts w:hint="eastAsia" w:ascii="宋体" w:hAnsi="宋体" w:eastAsia="宋体" w:cs="Times New Roman"/>
          <w:b/>
          <w:color w:val="FF0000"/>
          <w:kern w:val="0"/>
          <w:szCs w:val="21"/>
        </w:rPr>
        <w:t>注：根据《中华人民共和国政府采购法实施条例》第十九条规定：政府采购法第二十二条第一款第五项所称重大违法记录，是指供应商因违法经营受到刑事处罚或者责令停产停业、吊销许可证或者执照、较大数额罚款等行政处罚。</w:t>
      </w:r>
    </w:p>
    <w:p>
      <w:pPr>
        <w:widowControl/>
        <w:jc w:val="center"/>
        <w:outlineLvl w:val="3"/>
        <w:rPr>
          <w:rFonts w:ascii="宋体" w:hAnsi="宋体" w:eastAsia="宋体" w:cs="Times New Roman"/>
          <w:b/>
          <w:bCs/>
          <w:kern w:val="0"/>
          <w:sz w:val="24"/>
          <w:szCs w:val="20"/>
        </w:rPr>
      </w:pPr>
      <w:r>
        <w:rPr>
          <w:rFonts w:hint="eastAsia" w:ascii="宋体" w:hAnsi="宋体" w:eastAsia="宋体" w:cs="Times New Roman"/>
          <w:b/>
          <w:bCs/>
          <w:kern w:val="0"/>
          <w:sz w:val="24"/>
          <w:szCs w:val="20"/>
        </w:rPr>
        <w:t>3</w:t>
      </w:r>
      <w:r>
        <w:rPr>
          <w:rFonts w:ascii="宋体" w:hAnsi="宋体" w:eastAsia="宋体" w:cs="Times New Roman"/>
          <w:b/>
          <w:bCs/>
          <w:kern w:val="0"/>
          <w:sz w:val="24"/>
          <w:szCs w:val="20"/>
        </w:rPr>
        <w:t>.</w:t>
      </w:r>
      <w:r>
        <w:rPr>
          <w:rFonts w:hint="eastAsia" w:ascii="宋体" w:hAnsi="宋体" w:eastAsia="宋体" w:cs="Times New Roman"/>
          <w:b/>
          <w:bCs/>
          <w:kern w:val="0"/>
          <w:sz w:val="24"/>
          <w:szCs w:val="20"/>
        </w:rPr>
        <w:t>分项报价清单</w:t>
      </w:r>
    </w:p>
    <w:p>
      <w:pPr>
        <w:spacing w:afterLines="25" w:line="300" w:lineRule="auto"/>
        <w:rPr>
          <w:rFonts w:ascii="Arial" w:hAnsi="Arial" w:eastAsia="宋体" w:cs="Arial"/>
          <w:szCs w:val="24"/>
        </w:rPr>
      </w:pPr>
      <w:r>
        <w:rPr>
          <w:rFonts w:hint="eastAsia" w:ascii="Arial" w:hAnsi="Arial" w:eastAsia="宋体" w:cs="Arial"/>
          <w:color w:val="000000"/>
          <w:szCs w:val="24"/>
        </w:rPr>
        <w:t>投标单位（投标人）名称：</w:t>
      </w:r>
    </w:p>
    <w:tbl>
      <w:tblPr>
        <w:tblStyle w:val="16"/>
        <w:tblW w:w="9011" w:type="dxa"/>
        <w:jc w:val="center"/>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Layout w:type="fixed"/>
        <w:tblCellMar>
          <w:top w:w="0" w:type="dxa"/>
          <w:left w:w="108" w:type="dxa"/>
          <w:bottom w:w="0" w:type="dxa"/>
          <w:right w:w="108" w:type="dxa"/>
        </w:tblCellMar>
      </w:tblPr>
      <w:tblGrid>
        <w:gridCol w:w="822"/>
        <w:gridCol w:w="3260"/>
        <w:gridCol w:w="1413"/>
        <w:gridCol w:w="1470"/>
        <w:gridCol w:w="2038"/>
        <w:gridCol w:w="8"/>
      </w:tblGrid>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458" w:hRule="atLeast"/>
          <w:jc w:val="center"/>
        </w:trPr>
        <w:tc>
          <w:tcPr>
            <w:tcW w:w="822" w:type="dxa"/>
            <w:vAlign w:val="center"/>
          </w:tcPr>
          <w:p>
            <w:pPr>
              <w:snapToGrid w:val="0"/>
              <w:spacing w:afterLines="25"/>
              <w:jc w:val="center"/>
              <w:rPr>
                <w:rFonts w:ascii="Arial" w:hAnsi="Arial" w:eastAsia="宋体" w:cs="Arial"/>
                <w:szCs w:val="24"/>
              </w:rPr>
            </w:pPr>
            <w:r>
              <w:rPr>
                <w:rFonts w:hint="eastAsia" w:ascii="Arial" w:hAnsi="Arial" w:eastAsia="宋体" w:cs="Arial"/>
                <w:szCs w:val="24"/>
              </w:rPr>
              <w:t>序号</w:t>
            </w:r>
          </w:p>
        </w:tc>
        <w:tc>
          <w:tcPr>
            <w:tcW w:w="3260" w:type="dxa"/>
            <w:vAlign w:val="center"/>
          </w:tcPr>
          <w:p>
            <w:pPr>
              <w:snapToGrid w:val="0"/>
              <w:spacing w:afterLines="25"/>
              <w:jc w:val="center"/>
              <w:rPr>
                <w:rFonts w:ascii="Arial" w:hAnsi="Arial" w:eastAsia="宋体" w:cs="Arial"/>
                <w:szCs w:val="24"/>
              </w:rPr>
            </w:pPr>
            <w:r>
              <w:rPr>
                <w:rFonts w:hint="eastAsia" w:ascii="Arial" w:hAnsi="Arial" w:eastAsia="宋体" w:cs="Arial"/>
                <w:szCs w:val="24"/>
              </w:rPr>
              <w:t>支出项名称</w:t>
            </w:r>
          </w:p>
        </w:tc>
        <w:tc>
          <w:tcPr>
            <w:tcW w:w="1413" w:type="dxa"/>
            <w:vAlign w:val="center"/>
          </w:tcPr>
          <w:p>
            <w:pPr>
              <w:snapToGrid w:val="0"/>
              <w:spacing w:afterLines="25"/>
              <w:jc w:val="center"/>
              <w:rPr>
                <w:rFonts w:ascii="Arial" w:hAnsi="Arial" w:eastAsia="宋体" w:cs="Arial"/>
                <w:szCs w:val="24"/>
              </w:rPr>
            </w:pPr>
            <w:r>
              <w:rPr>
                <w:rFonts w:hint="eastAsia" w:ascii="Arial" w:hAnsi="Arial" w:eastAsia="宋体" w:cs="Arial"/>
                <w:szCs w:val="24"/>
              </w:rPr>
              <w:t>数量</w:t>
            </w:r>
          </w:p>
        </w:tc>
        <w:tc>
          <w:tcPr>
            <w:tcW w:w="1470" w:type="dxa"/>
            <w:vAlign w:val="center"/>
          </w:tcPr>
          <w:p>
            <w:pPr>
              <w:snapToGrid w:val="0"/>
              <w:spacing w:afterLines="25"/>
              <w:jc w:val="center"/>
              <w:rPr>
                <w:rFonts w:ascii="Arial" w:hAnsi="Arial" w:eastAsia="宋体" w:cs="Arial"/>
                <w:szCs w:val="24"/>
              </w:rPr>
            </w:pPr>
            <w:r>
              <w:rPr>
                <w:rFonts w:hint="eastAsia" w:ascii="Arial" w:hAnsi="Arial" w:eastAsia="宋体" w:cs="Arial"/>
                <w:szCs w:val="24"/>
              </w:rPr>
              <w:t>单价（元）</w:t>
            </w:r>
          </w:p>
        </w:tc>
        <w:tc>
          <w:tcPr>
            <w:tcW w:w="2046" w:type="dxa"/>
            <w:gridSpan w:val="2"/>
            <w:vAlign w:val="center"/>
          </w:tcPr>
          <w:p>
            <w:pPr>
              <w:snapToGrid w:val="0"/>
              <w:spacing w:afterLines="25"/>
              <w:jc w:val="center"/>
              <w:rPr>
                <w:rFonts w:ascii="Arial" w:hAnsi="Arial" w:eastAsia="宋体" w:cs="Arial"/>
                <w:szCs w:val="24"/>
              </w:rPr>
            </w:pPr>
            <w:r>
              <w:rPr>
                <w:rFonts w:hint="eastAsia" w:ascii="Arial" w:hAnsi="Arial" w:eastAsia="宋体" w:cs="Arial"/>
                <w:szCs w:val="24"/>
              </w:rPr>
              <w:t>总价（元）</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458" w:hRule="atLeast"/>
          <w:jc w:val="center"/>
        </w:trPr>
        <w:tc>
          <w:tcPr>
            <w:tcW w:w="822" w:type="dxa"/>
            <w:vAlign w:val="center"/>
          </w:tcPr>
          <w:p>
            <w:pPr>
              <w:snapToGrid w:val="0"/>
              <w:spacing w:afterLines="25"/>
              <w:jc w:val="center"/>
              <w:rPr>
                <w:rFonts w:ascii="Arial" w:hAnsi="Arial" w:eastAsia="宋体" w:cs="Arial"/>
                <w:szCs w:val="24"/>
              </w:rPr>
            </w:pPr>
            <w:r>
              <w:rPr>
                <w:rFonts w:hint="eastAsia" w:ascii="Arial" w:hAnsi="Arial" w:eastAsia="宋体" w:cs="Arial"/>
                <w:szCs w:val="24"/>
              </w:rPr>
              <w:t>1</w:t>
            </w:r>
          </w:p>
        </w:tc>
        <w:tc>
          <w:tcPr>
            <w:tcW w:w="3260" w:type="dxa"/>
            <w:vAlign w:val="center"/>
          </w:tcPr>
          <w:p>
            <w:pPr>
              <w:snapToGrid w:val="0"/>
              <w:spacing w:afterLines="25"/>
              <w:jc w:val="center"/>
              <w:rPr>
                <w:rFonts w:ascii="Arial" w:hAnsi="Arial" w:eastAsia="宋体" w:cs="Times New Roman"/>
                <w:szCs w:val="24"/>
              </w:rPr>
            </w:pPr>
          </w:p>
        </w:tc>
        <w:tc>
          <w:tcPr>
            <w:tcW w:w="1413" w:type="dxa"/>
            <w:vAlign w:val="center"/>
          </w:tcPr>
          <w:p>
            <w:pPr>
              <w:snapToGrid w:val="0"/>
              <w:spacing w:afterLines="25"/>
              <w:jc w:val="center"/>
              <w:rPr>
                <w:rFonts w:ascii="Arial" w:hAnsi="Arial" w:eastAsia="宋体" w:cs="Arial"/>
                <w:szCs w:val="24"/>
              </w:rPr>
            </w:pPr>
          </w:p>
        </w:tc>
        <w:tc>
          <w:tcPr>
            <w:tcW w:w="1470" w:type="dxa"/>
            <w:vAlign w:val="center"/>
          </w:tcPr>
          <w:p>
            <w:pPr>
              <w:snapToGrid w:val="0"/>
              <w:spacing w:afterLines="25"/>
              <w:jc w:val="center"/>
              <w:rPr>
                <w:rFonts w:ascii="Arial" w:hAnsi="Arial" w:eastAsia="宋体" w:cs="Arial"/>
                <w:szCs w:val="24"/>
              </w:rPr>
            </w:pPr>
          </w:p>
        </w:tc>
        <w:tc>
          <w:tcPr>
            <w:tcW w:w="2046" w:type="dxa"/>
            <w:gridSpan w:val="2"/>
            <w:vAlign w:val="center"/>
          </w:tcPr>
          <w:p>
            <w:pPr>
              <w:snapToGrid w:val="0"/>
              <w:spacing w:afterLines="25"/>
              <w:jc w:val="center"/>
              <w:rPr>
                <w:rFonts w:ascii="Arial" w:hAnsi="Arial" w:eastAsia="宋体" w:cs="Arial"/>
                <w:szCs w:val="24"/>
              </w:rPr>
            </w:pP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458" w:hRule="atLeast"/>
          <w:jc w:val="center"/>
        </w:trPr>
        <w:tc>
          <w:tcPr>
            <w:tcW w:w="822" w:type="dxa"/>
            <w:vAlign w:val="center"/>
          </w:tcPr>
          <w:p>
            <w:pPr>
              <w:snapToGrid w:val="0"/>
              <w:spacing w:afterLines="25"/>
              <w:jc w:val="center"/>
              <w:rPr>
                <w:rFonts w:ascii="Arial" w:hAnsi="Arial" w:eastAsia="宋体" w:cs="Arial"/>
                <w:szCs w:val="24"/>
              </w:rPr>
            </w:pPr>
            <w:r>
              <w:rPr>
                <w:rFonts w:hint="eastAsia" w:ascii="Arial" w:hAnsi="Arial" w:eastAsia="宋体" w:cs="Arial"/>
                <w:szCs w:val="24"/>
              </w:rPr>
              <w:t>2</w:t>
            </w:r>
          </w:p>
        </w:tc>
        <w:tc>
          <w:tcPr>
            <w:tcW w:w="3260" w:type="dxa"/>
            <w:vAlign w:val="center"/>
          </w:tcPr>
          <w:p>
            <w:pPr>
              <w:snapToGrid w:val="0"/>
              <w:spacing w:afterLines="25"/>
              <w:jc w:val="center"/>
              <w:rPr>
                <w:rFonts w:ascii="Arial" w:hAnsi="Arial" w:eastAsia="宋体" w:cs="Times New Roman"/>
                <w:szCs w:val="24"/>
              </w:rPr>
            </w:pPr>
          </w:p>
        </w:tc>
        <w:tc>
          <w:tcPr>
            <w:tcW w:w="1413" w:type="dxa"/>
            <w:vAlign w:val="center"/>
          </w:tcPr>
          <w:p>
            <w:pPr>
              <w:snapToGrid w:val="0"/>
              <w:spacing w:afterLines="25"/>
              <w:jc w:val="center"/>
              <w:rPr>
                <w:rFonts w:ascii="Arial" w:hAnsi="Arial" w:eastAsia="宋体" w:cs="Arial"/>
                <w:szCs w:val="24"/>
              </w:rPr>
            </w:pPr>
          </w:p>
        </w:tc>
        <w:tc>
          <w:tcPr>
            <w:tcW w:w="1470" w:type="dxa"/>
            <w:vAlign w:val="center"/>
          </w:tcPr>
          <w:p>
            <w:pPr>
              <w:snapToGrid w:val="0"/>
              <w:spacing w:afterLines="25"/>
              <w:jc w:val="center"/>
              <w:rPr>
                <w:rFonts w:ascii="Arial" w:hAnsi="Arial" w:eastAsia="宋体" w:cs="Arial"/>
                <w:szCs w:val="24"/>
              </w:rPr>
            </w:pPr>
          </w:p>
        </w:tc>
        <w:tc>
          <w:tcPr>
            <w:tcW w:w="2046" w:type="dxa"/>
            <w:gridSpan w:val="2"/>
            <w:vAlign w:val="center"/>
          </w:tcPr>
          <w:p>
            <w:pPr>
              <w:snapToGrid w:val="0"/>
              <w:spacing w:afterLines="25"/>
              <w:jc w:val="center"/>
              <w:rPr>
                <w:rFonts w:ascii="Arial" w:hAnsi="Arial" w:eastAsia="宋体" w:cs="Arial"/>
                <w:szCs w:val="24"/>
              </w:rPr>
            </w:pP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458" w:hRule="atLeast"/>
          <w:jc w:val="center"/>
        </w:trPr>
        <w:tc>
          <w:tcPr>
            <w:tcW w:w="822" w:type="dxa"/>
            <w:vAlign w:val="center"/>
          </w:tcPr>
          <w:p>
            <w:pPr>
              <w:snapToGrid w:val="0"/>
              <w:spacing w:afterLines="25"/>
              <w:jc w:val="center"/>
              <w:rPr>
                <w:rFonts w:ascii="Arial" w:hAnsi="Arial" w:eastAsia="宋体" w:cs="Arial"/>
                <w:szCs w:val="24"/>
              </w:rPr>
            </w:pPr>
            <w:r>
              <w:rPr>
                <w:rFonts w:hint="eastAsia" w:ascii="Arial" w:hAnsi="Arial" w:eastAsia="宋体" w:cs="Arial"/>
                <w:szCs w:val="24"/>
              </w:rPr>
              <w:t>3</w:t>
            </w:r>
          </w:p>
        </w:tc>
        <w:tc>
          <w:tcPr>
            <w:tcW w:w="3260" w:type="dxa"/>
            <w:vAlign w:val="center"/>
          </w:tcPr>
          <w:p>
            <w:pPr>
              <w:snapToGrid w:val="0"/>
              <w:spacing w:afterLines="25"/>
              <w:jc w:val="center"/>
              <w:rPr>
                <w:rFonts w:ascii="Arial" w:hAnsi="Arial" w:eastAsia="宋体" w:cs="Times New Roman"/>
                <w:szCs w:val="24"/>
              </w:rPr>
            </w:pPr>
          </w:p>
        </w:tc>
        <w:tc>
          <w:tcPr>
            <w:tcW w:w="1413" w:type="dxa"/>
            <w:vAlign w:val="center"/>
          </w:tcPr>
          <w:p>
            <w:pPr>
              <w:snapToGrid w:val="0"/>
              <w:spacing w:afterLines="25"/>
              <w:jc w:val="center"/>
              <w:rPr>
                <w:rFonts w:ascii="Arial" w:hAnsi="Arial" w:eastAsia="宋体" w:cs="Arial"/>
                <w:szCs w:val="24"/>
              </w:rPr>
            </w:pPr>
          </w:p>
        </w:tc>
        <w:tc>
          <w:tcPr>
            <w:tcW w:w="1470" w:type="dxa"/>
            <w:vAlign w:val="center"/>
          </w:tcPr>
          <w:p>
            <w:pPr>
              <w:snapToGrid w:val="0"/>
              <w:spacing w:afterLines="25"/>
              <w:jc w:val="center"/>
              <w:rPr>
                <w:rFonts w:ascii="Arial" w:hAnsi="Arial" w:eastAsia="宋体" w:cs="Arial"/>
                <w:szCs w:val="24"/>
              </w:rPr>
            </w:pPr>
          </w:p>
        </w:tc>
        <w:tc>
          <w:tcPr>
            <w:tcW w:w="2046" w:type="dxa"/>
            <w:gridSpan w:val="2"/>
            <w:vAlign w:val="center"/>
          </w:tcPr>
          <w:p>
            <w:pPr>
              <w:snapToGrid w:val="0"/>
              <w:spacing w:afterLines="25"/>
              <w:jc w:val="center"/>
              <w:rPr>
                <w:rFonts w:ascii="Arial" w:hAnsi="Arial" w:eastAsia="宋体" w:cs="Arial"/>
                <w:szCs w:val="24"/>
              </w:rPr>
            </w:pP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458" w:hRule="atLeast"/>
          <w:jc w:val="center"/>
        </w:trPr>
        <w:tc>
          <w:tcPr>
            <w:tcW w:w="822" w:type="dxa"/>
            <w:vAlign w:val="center"/>
          </w:tcPr>
          <w:p>
            <w:pPr>
              <w:snapToGrid w:val="0"/>
              <w:spacing w:afterLines="25"/>
              <w:jc w:val="center"/>
              <w:rPr>
                <w:rFonts w:ascii="Arial" w:hAnsi="Arial" w:eastAsia="宋体" w:cs="Arial"/>
                <w:szCs w:val="24"/>
              </w:rPr>
            </w:pPr>
            <w:r>
              <w:rPr>
                <w:rFonts w:hint="eastAsia" w:ascii="Arial" w:hAnsi="Arial" w:eastAsia="宋体" w:cs="Arial"/>
                <w:szCs w:val="24"/>
              </w:rPr>
              <w:t>……</w:t>
            </w:r>
          </w:p>
        </w:tc>
        <w:tc>
          <w:tcPr>
            <w:tcW w:w="3260" w:type="dxa"/>
            <w:vAlign w:val="center"/>
          </w:tcPr>
          <w:p>
            <w:pPr>
              <w:snapToGrid w:val="0"/>
              <w:spacing w:afterLines="25"/>
              <w:jc w:val="center"/>
              <w:rPr>
                <w:rFonts w:ascii="Arial" w:hAnsi="Arial" w:eastAsia="宋体" w:cs="Arial"/>
                <w:szCs w:val="24"/>
              </w:rPr>
            </w:pPr>
          </w:p>
        </w:tc>
        <w:tc>
          <w:tcPr>
            <w:tcW w:w="1413" w:type="dxa"/>
            <w:vAlign w:val="center"/>
          </w:tcPr>
          <w:p>
            <w:pPr>
              <w:snapToGrid w:val="0"/>
              <w:spacing w:afterLines="25"/>
              <w:jc w:val="center"/>
              <w:rPr>
                <w:rFonts w:ascii="Arial" w:hAnsi="Arial" w:eastAsia="宋体" w:cs="Arial"/>
                <w:szCs w:val="24"/>
              </w:rPr>
            </w:pPr>
          </w:p>
        </w:tc>
        <w:tc>
          <w:tcPr>
            <w:tcW w:w="1470" w:type="dxa"/>
            <w:vAlign w:val="center"/>
          </w:tcPr>
          <w:p>
            <w:pPr>
              <w:snapToGrid w:val="0"/>
              <w:spacing w:afterLines="25"/>
              <w:jc w:val="center"/>
              <w:rPr>
                <w:rFonts w:ascii="Arial" w:hAnsi="Arial" w:eastAsia="宋体" w:cs="Arial"/>
                <w:szCs w:val="24"/>
              </w:rPr>
            </w:pPr>
          </w:p>
        </w:tc>
        <w:tc>
          <w:tcPr>
            <w:tcW w:w="2046" w:type="dxa"/>
            <w:gridSpan w:val="2"/>
            <w:vAlign w:val="center"/>
          </w:tcPr>
          <w:p>
            <w:pPr>
              <w:snapToGrid w:val="0"/>
              <w:spacing w:afterLines="25"/>
              <w:jc w:val="center"/>
              <w:rPr>
                <w:rFonts w:ascii="Arial" w:hAnsi="Arial" w:eastAsia="宋体" w:cs="Arial"/>
                <w:szCs w:val="24"/>
              </w:rPr>
            </w:pP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gridAfter w:val="1"/>
          <w:wAfter w:w="8" w:type="dxa"/>
          <w:cantSplit/>
          <w:trHeight w:val="646" w:hRule="atLeast"/>
          <w:jc w:val="center"/>
        </w:trPr>
        <w:tc>
          <w:tcPr>
            <w:tcW w:w="6965" w:type="dxa"/>
            <w:gridSpan w:val="4"/>
            <w:vAlign w:val="center"/>
          </w:tcPr>
          <w:p>
            <w:pPr>
              <w:snapToGrid w:val="0"/>
              <w:spacing w:afterLines="25"/>
              <w:jc w:val="center"/>
              <w:rPr>
                <w:rFonts w:ascii="Arial" w:hAnsi="Arial" w:eastAsia="宋体" w:cs="Arial"/>
                <w:b/>
                <w:szCs w:val="24"/>
              </w:rPr>
            </w:pPr>
            <w:r>
              <w:rPr>
                <w:rFonts w:hint="eastAsia" w:ascii="Arial" w:hAnsi="Arial" w:eastAsia="宋体" w:cs="Arial"/>
                <w:b/>
                <w:szCs w:val="24"/>
              </w:rPr>
              <w:t>投标总价</w:t>
            </w:r>
            <w:r>
              <w:rPr>
                <w:rFonts w:hint="eastAsia" w:ascii="Arial" w:hAnsi="Arial" w:eastAsia="宋体" w:cs="Times New Roman"/>
                <w:szCs w:val="24"/>
              </w:rPr>
              <w:t>（以上各项之和；币种：人民币；单位：元）</w:t>
            </w:r>
          </w:p>
        </w:tc>
        <w:tc>
          <w:tcPr>
            <w:tcW w:w="2038" w:type="dxa"/>
            <w:vAlign w:val="center"/>
          </w:tcPr>
          <w:p>
            <w:pPr>
              <w:snapToGrid w:val="0"/>
              <w:spacing w:afterLines="25"/>
              <w:jc w:val="center"/>
              <w:rPr>
                <w:rFonts w:ascii="Arial" w:hAnsi="Arial" w:eastAsia="宋体" w:cs="Arial"/>
                <w:szCs w:val="24"/>
              </w:rPr>
            </w:pPr>
          </w:p>
        </w:tc>
      </w:tr>
    </w:tbl>
    <w:p>
      <w:pPr>
        <w:spacing w:afterLines="25" w:line="300" w:lineRule="auto"/>
        <w:rPr>
          <w:rFonts w:ascii="Arial" w:hAnsi="Arial" w:eastAsia="宋体" w:cs="Times New Roman"/>
          <w:b/>
          <w:szCs w:val="24"/>
        </w:rPr>
      </w:pPr>
      <w:r>
        <w:rPr>
          <w:rFonts w:hint="eastAsia" w:ascii="Arial" w:hAnsi="Arial" w:eastAsia="宋体" w:cs="Times New Roman"/>
          <w:b/>
          <w:szCs w:val="24"/>
        </w:rPr>
        <w:t>填写说明：</w:t>
      </w:r>
    </w:p>
    <w:p>
      <w:pPr>
        <w:spacing w:afterLines="25" w:line="300" w:lineRule="auto"/>
        <w:rPr>
          <w:rFonts w:ascii="Arial" w:hAnsi="Arial" w:eastAsia="宋体" w:cs="Times New Roman"/>
          <w:b/>
          <w:szCs w:val="24"/>
        </w:rPr>
      </w:pPr>
      <w:r>
        <w:rPr>
          <w:rFonts w:hint="eastAsia" w:ascii="Arial" w:hAnsi="Arial" w:eastAsia="宋体" w:cs="Times New Roman"/>
          <w:b/>
          <w:szCs w:val="24"/>
        </w:rPr>
        <w:t>1、此表可延长，各投标人根据本项目实际涉及的所有支出项情况修改后填写。本表如有缺漏项，由投标人自行承担。</w:t>
      </w:r>
    </w:p>
    <w:p>
      <w:pPr>
        <w:spacing w:line="360" w:lineRule="exact"/>
        <w:rPr>
          <w:rFonts w:ascii="宋体" w:hAnsi="宋体" w:eastAsia="宋体" w:cs="Times New Roman"/>
          <w:b/>
          <w:szCs w:val="21"/>
        </w:rPr>
      </w:pPr>
      <w:r>
        <w:rPr>
          <w:rFonts w:hint="eastAsia" w:ascii="宋体" w:hAnsi="宋体" w:eastAsia="宋体" w:cs="Times New Roman"/>
          <w:b/>
          <w:szCs w:val="21"/>
        </w:rPr>
        <w:t>2、中标人签订合同前将详细的《分项报价清单》递交采购单位，经采购单位审核同意后方可实施。</w:t>
      </w:r>
    </w:p>
    <w:p>
      <w:pPr>
        <w:spacing w:afterLines="25" w:line="300" w:lineRule="auto"/>
        <w:rPr>
          <w:rFonts w:ascii="Arial" w:hAnsi="Arial" w:eastAsia="宋体" w:cs="Times New Roman"/>
          <w:b/>
          <w:szCs w:val="24"/>
        </w:rPr>
      </w:pPr>
    </w:p>
    <w:p>
      <w:pPr>
        <w:widowControl/>
        <w:jc w:val="left"/>
        <w:rPr>
          <w:rFonts w:cs="Times New Roman" w:asciiTheme="minorEastAsia" w:hAnsiTheme="minorEastAsia"/>
          <w:sz w:val="24"/>
          <w:szCs w:val="24"/>
        </w:rPr>
      </w:pPr>
      <w:r>
        <w:rPr>
          <w:rFonts w:cs="Times New Roman" w:asciiTheme="minorEastAsia" w:hAnsiTheme="minorEastAsia"/>
          <w:sz w:val="24"/>
          <w:szCs w:val="24"/>
        </w:rPr>
        <w:br w:type="page"/>
      </w:r>
    </w:p>
    <w:p>
      <w:pPr>
        <w:keepNext/>
        <w:keepLines/>
        <w:pageBreakBefore/>
        <w:adjustRightInd w:val="0"/>
        <w:snapToGrid w:val="0"/>
        <w:spacing w:line="360" w:lineRule="auto"/>
        <w:jc w:val="center"/>
        <w:textAlignment w:val="baseline"/>
        <w:outlineLvl w:val="3"/>
        <w:rPr>
          <w:rFonts w:ascii="宋体" w:hAnsi="宋体" w:eastAsia="宋体" w:cs="Times New Roman"/>
          <w:b/>
          <w:bCs/>
          <w:kern w:val="0"/>
          <w:sz w:val="24"/>
          <w:szCs w:val="20"/>
        </w:rPr>
      </w:pPr>
      <w:r>
        <w:rPr>
          <w:rFonts w:hint="eastAsia" w:ascii="宋体" w:hAnsi="宋体" w:eastAsia="宋体" w:cs="Times New Roman"/>
          <w:b/>
          <w:bCs/>
          <w:kern w:val="0"/>
          <w:sz w:val="24"/>
          <w:szCs w:val="20"/>
        </w:rPr>
        <w:t>4.中小企业相关声明函</w:t>
      </w:r>
    </w:p>
    <w:p>
      <w:pPr>
        <w:snapToGrid w:val="0"/>
        <w:rPr>
          <w:rFonts w:ascii="黑体" w:hAnsi="黑体" w:eastAsia="黑体" w:cs="黑体"/>
          <w:color w:val="FF0000"/>
          <w:sz w:val="25"/>
          <w:szCs w:val="25"/>
        </w:rPr>
      </w:pPr>
      <w:r>
        <w:rPr>
          <w:rFonts w:hint="eastAsia" w:ascii="黑体" w:hAnsi="黑体" w:eastAsia="黑体" w:cs="黑体"/>
          <w:color w:val="FF0000"/>
          <w:sz w:val="25"/>
          <w:szCs w:val="25"/>
        </w:rPr>
        <w:t>填写指引：</w:t>
      </w:r>
    </w:p>
    <w:p>
      <w:pPr>
        <w:snapToGrid w:val="0"/>
        <w:ind w:firstLine="500" w:firstLineChars="200"/>
        <w:rPr>
          <w:rFonts w:ascii="黑体" w:hAnsi="黑体" w:eastAsia="黑体" w:cs="黑体"/>
          <w:color w:val="FF0000"/>
          <w:sz w:val="25"/>
          <w:szCs w:val="25"/>
        </w:rPr>
      </w:pPr>
      <w:r>
        <w:rPr>
          <w:rFonts w:hint="eastAsia" w:ascii="黑体" w:hAnsi="黑体" w:eastAsia="黑体" w:cs="黑体"/>
          <w:color w:val="FF0000"/>
          <w:sz w:val="25"/>
          <w:szCs w:val="25"/>
        </w:rPr>
        <w:t>1、该部分内容由投标人根据自身实际情况填写，不符合要求的投标人可以不填写或直接删除相应的声明函。投标人提供的声明函不属实的，属于提供虚假资料谋取中标，依照《中华人民共和国政府采购法》等国家有关规定追究相应责任。</w:t>
      </w:r>
    </w:p>
    <w:p>
      <w:pPr>
        <w:snapToGrid w:val="0"/>
        <w:ind w:firstLine="500" w:firstLineChars="200"/>
        <w:rPr>
          <w:rFonts w:ascii="黑体" w:hAnsi="黑体" w:eastAsia="黑体" w:cs="黑体"/>
          <w:color w:val="FF0000"/>
          <w:sz w:val="25"/>
          <w:szCs w:val="25"/>
        </w:rPr>
      </w:pPr>
      <w:r>
        <w:rPr>
          <w:rFonts w:hint="eastAsia" w:ascii="黑体" w:hAnsi="黑体" w:eastAsia="黑体" w:cs="黑体"/>
          <w:color w:val="FF0000"/>
          <w:sz w:val="25"/>
          <w:szCs w:val="25"/>
        </w:rPr>
        <w:t>2、该部分内容填写需要参考的相关文件：</w:t>
      </w:r>
    </w:p>
    <w:p>
      <w:pPr>
        <w:snapToGrid w:val="0"/>
        <w:ind w:firstLine="500" w:firstLineChars="200"/>
        <w:rPr>
          <w:rFonts w:ascii="黑体" w:hAnsi="黑体" w:eastAsia="黑体" w:cs="黑体"/>
          <w:color w:val="FF0000"/>
          <w:sz w:val="25"/>
          <w:szCs w:val="25"/>
        </w:rPr>
      </w:pPr>
      <w:r>
        <w:rPr>
          <w:rFonts w:hint="eastAsia" w:ascii="黑体" w:hAnsi="黑体" w:eastAsia="黑体" w:cs="黑体"/>
          <w:color w:val="FF0000"/>
          <w:sz w:val="25"/>
          <w:szCs w:val="25"/>
        </w:rPr>
        <w:t>(1)财政部《政府采购促进中小企业发展管理办法》（财库〔2020〕46号）；</w:t>
      </w:r>
    </w:p>
    <w:p>
      <w:pPr>
        <w:snapToGrid w:val="0"/>
        <w:ind w:firstLine="500" w:firstLineChars="200"/>
        <w:rPr>
          <w:rFonts w:ascii="黑体" w:hAnsi="黑体" w:eastAsia="黑体" w:cs="黑体"/>
          <w:color w:val="FF0000"/>
          <w:sz w:val="25"/>
          <w:szCs w:val="25"/>
        </w:rPr>
      </w:pPr>
      <w:r>
        <w:rPr>
          <w:rFonts w:hint="eastAsia" w:ascii="黑体" w:hAnsi="黑体" w:eastAsia="黑体" w:cs="黑体"/>
          <w:color w:val="FF0000"/>
          <w:sz w:val="25"/>
          <w:szCs w:val="25"/>
        </w:rPr>
        <w:t>(2)《工业和信息化部、国家统计局、国家发展和改革委员会、财政部关于印发中小企业划型标准规定的通知》（工信部联企业〔2011〕300 号，以下简称300号文）；</w:t>
      </w:r>
    </w:p>
    <w:p>
      <w:pPr>
        <w:snapToGrid w:val="0"/>
        <w:ind w:firstLine="500" w:firstLineChars="200"/>
        <w:rPr>
          <w:rFonts w:ascii="黑体" w:hAnsi="黑体" w:eastAsia="黑体" w:cs="黑体"/>
          <w:color w:val="FF0000"/>
          <w:sz w:val="25"/>
          <w:szCs w:val="25"/>
        </w:rPr>
      </w:pPr>
      <w:r>
        <w:rPr>
          <w:rFonts w:hint="eastAsia" w:ascii="黑体" w:hAnsi="黑体" w:eastAsia="黑体" w:cs="黑体"/>
          <w:color w:val="FF0000"/>
          <w:sz w:val="25"/>
          <w:szCs w:val="25"/>
        </w:rPr>
        <w:t>(3)《统计上大中小微型企业划分办法(2017)》（国统字〔2017〕213 号）；</w:t>
      </w:r>
    </w:p>
    <w:p>
      <w:pPr>
        <w:snapToGrid w:val="0"/>
        <w:ind w:firstLine="500" w:firstLineChars="200"/>
        <w:rPr>
          <w:rFonts w:ascii="黑体" w:hAnsi="黑体" w:eastAsia="黑体" w:cs="黑体"/>
          <w:color w:val="FF0000"/>
          <w:sz w:val="25"/>
          <w:szCs w:val="25"/>
        </w:rPr>
      </w:pPr>
      <w:r>
        <w:rPr>
          <w:rFonts w:hint="eastAsia" w:ascii="黑体" w:hAnsi="黑体" w:eastAsia="黑体" w:cs="黑体"/>
          <w:color w:val="FF0000"/>
          <w:sz w:val="25"/>
          <w:szCs w:val="25"/>
        </w:rPr>
        <w:t>(4)《关于促进残疾人就业政府采购政策的通知》（财库〔2017〕141号）；</w:t>
      </w:r>
    </w:p>
    <w:p>
      <w:pPr>
        <w:snapToGrid w:val="0"/>
        <w:ind w:firstLine="500" w:firstLineChars="200"/>
        <w:rPr>
          <w:rFonts w:ascii="黑体" w:hAnsi="黑体" w:eastAsia="黑体" w:cs="黑体"/>
          <w:color w:val="FF0000"/>
          <w:sz w:val="25"/>
          <w:szCs w:val="25"/>
        </w:rPr>
      </w:pPr>
      <w:r>
        <w:rPr>
          <w:rFonts w:hint="eastAsia" w:ascii="黑体" w:hAnsi="黑体" w:eastAsia="黑体" w:cs="黑体"/>
          <w:color w:val="FF0000"/>
          <w:sz w:val="25"/>
          <w:szCs w:val="25"/>
        </w:rPr>
        <w:t>(5)《关于政府采购支持监狱企业发展有关问题的通知》（财库〔2014〕68号）</w:t>
      </w:r>
    </w:p>
    <w:p>
      <w:pPr>
        <w:snapToGrid w:val="0"/>
        <w:ind w:firstLine="500" w:firstLineChars="200"/>
        <w:rPr>
          <w:rFonts w:ascii="黑体" w:hAnsi="黑体" w:eastAsia="黑体" w:cs="黑体"/>
          <w:color w:val="FF0000"/>
          <w:sz w:val="25"/>
          <w:szCs w:val="25"/>
        </w:rPr>
      </w:pPr>
      <w:r>
        <w:rPr>
          <w:rFonts w:hint="eastAsia" w:ascii="黑体" w:hAnsi="黑体" w:eastAsia="黑体" w:cs="黑体"/>
          <w:color w:val="FF0000"/>
          <w:sz w:val="25"/>
          <w:szCs w:val="25"/>
        </w:rPr>
        <w:t>3、请依照提供的格式和内容填写声明函，不要随意变更格式；声明函不需要盖章或签字；满足多项优惠政策的投标人，不重复享受多项价格扣除政策。</w:t>
      </w:r>
    </w:p>
    <w:p>
      <w:pPr>
        <w:snapToGrid w:val="0"/>
        <w:rPr>
          <w:rFonts w:ascii="黑体" w:hAnsi="黑体" w:eastAsia="黑体" w:cs="黑体"/>
          <w:color w:val="FF0000"/>
          <w:sz w:val="25"/>
          <w:szCs w:val="25"/>
        </w:rPr>
      </w:pPr>
      <w:r>
        <w:rPr>
          <w:rFonts w:hint="eastAsia" w:ascii="黑体" w:hAnsi="黑体" w:eastAsia="黑体" w:cs="黑体"/>
          <w:color w:val="FF0000"/>
          <w:sz w:val="25"/>
          <w:szCs w:val="25"/>
        </w:rPr>
        <w:t xml:space="preserve">    4、声明函具体填写要求：</w:t>
      </w:r>
    </w:p>
    <w:p>
      <w:pPr>
        <w:snapToGrid w:val="0"/>
        <w:rPr>
          <w:rFonts w:ascii="黑体" w:hAnsi="黑体" w:eastAsia="黑体" w:cs="黑体"/>
          <w:color w:val="FF0000"/>
          <w:sz w:val="25"/>
          <w:szCs w:val="25"/>
        </w:rPr>
      </w:pPr>
      <w:r>
        <w:rPr>
          <w:rFonts w:hint="eastAsia" w:ascii="黑体" w:hAnsi="黑体" w:eastAsia="黑体" w:cs="黑体"/>
          <w:color w:val="FF0000"/>
          <w:sz w:val="25"/>
          <w:szCs w:val="25"/>
        </w:rPr>
        <w:t xml:space="preserve">    （1）声明是中小企业须填写《中小企业声明函》的以下内容：</w:t>
      </w:r>
    </w:p>
    <w:p>
      <w:pPr>
        <w:snapToGrid w:val="0"/>
        <w:rPr>
          <w:rFonts w:ascii="黑体" w:hAnsi="黑体" w:eastAsia="黑体" w:cs="黑体"/>
          <w:color w:val="FF0000"/>
          <w:sz w:val="25"/>
          <w:szCs w:val="25"/>
        </w:rPr>
      </w:pPr>
      <w:r>
        <w:rPr>
          <w:rFonts w:hint="eastAsia" w:ascii="黑体" w:hAnsi="黑体" w:eastAsia="黑体" w:cs="黑体"/>
          <w:color w:val="FF0000"/>
          <w:sz w:val="25"/>
          <w:szCs w:val="25"/>
        </w:rPr>
        <w:t xml:space="preserve">    第一处，在“单位名称”下划线处如实填写采购人名称（深圳公共资源交易中心不是本项目的采购人，而是组织实施机构）；</w:t>
      </w:r>
    </w:p>
    <w:p>
      <w:pPr>
        <w:snapToGrid w:val="0"/>
        <w:rPr>
          <w:rFonts w:ascii="黑体" w:hAnsi="黑体" w:eastAsia="黑体" w:cs="黑体"/>
          <w:color w:val="FF0000"/>
          <w:sz w:val="25"/>
          <w:szCs w:val="25"/>
        </w:rPr>
      </w:pPr>
      <w:r>
        <w:rPr>
          <w:rFonts w:hint="eastAsia" w:ascii="黑体" w:hAnsi="黑体" w:eastAsia="黑体" w:cs="黑体"/>
          <w:color w:val="FF0000"/>
          <w:sz w:val="25"/>
          <w:szCs w:val="25"/>
        </w:rPr>
        <w:t xml:space="preserve">    第二处，在“项目名称”下划线处如实填写采购项目名称；</w:t>
      </w:r>
    </w:p>
    <w:p>
      <w:pPr>
        <w:snapToGrid w:val="0"/>
        <w:rPr>
          <w:rFonts w:ascii="黑体" w:hAnsi="黑体" w:eastAsia="黑体" w:cs="黑体"/>
          <w:color w:val="FF0000"/>
          <w:sz w:val="25"/>
          <w:szCs w:val="25"/>
        </w:rPr>
      </w:pPr>
      <w:r>
        <w:rPr>
          <w:rFonts w:hint="eastAsia" w:ascii="黑体" w:hAnsi="黑体" w:eastAsia="黑体" w:cs="黑体"/>
          <w:color w:val="FF0000"/>
          <w:sz w:val="25"/>
          <w:szCs w:val="25"/>
        </w:rPr>
        <w:t xml:space="preserve">  第三处，在“标的名称”下划线处填写所采购服务（标的）的具体名称</w:t>
      </w:r>
      <w:r>
        <w:rPr>
          <w:rFonts w:hint="eastAsia" w:ascii="黑体" w:hAnsi="黑体" w:eastAsia="黑体" w:cs="黑体"/>
          <w:color w:val="0000FF"/>
          <w:sz w:val="25"/>
          <w:szCs w:val="25"/>
        </w:rPr>
        <w:t>（以招标文件第一册第三章用户需求书“服务需求明细”的“服务需求名称”一栏为准）</w:t>
      </w:r>
      <w:r>
        <w:rPr>
          <w:rFonts w:hint="eastAsia" w:ascii="黑体" w:hAnsi="黑体" w:eastAsia="黑体" w:cs="黑体"/>
          <w:color w:val="FF0000"/>
          <w:sz w:val="25"/>
          <w:szCs w:val="25"/>
        </w:rPr>
        <w:t>；如果涉及多项服务（标的）为同一企业承接，“标的名称”下划线处可以如实填写多项服务；</w:t>
      </w:r>
    </w:p>
    <w:p>
      <w:pPr>
        <w:snapToGrid w:val="0"/>
        <w:rPr>
          <w:rFonts w:ascii="黑体" w:hAnsi="黑体" w:eastAsia="黑体" w:cs="黑体"/>
          <w:color w:val="FF0000"/>
          <w:sz w:val="25"/>
          <w:szCs w:val="25"/>
        </w:rPr>
      </w:pPr>
      <w:r>
        <w:rPr>
          <w:rFonts w:hint="eastAsia" w:ascii="黑体" w:hAnsi="黑体" w:eastAsia="黑体" w:cs="黑体"/>
          <w:color w:val="FF0000"/>
          <w:sz w:val="25"/>
          <w:szCs w:val="25"/>
        </w:rPr>
        <w:t xml:space="preserve">    第四处，在“招标文件中明确的所属行业”下划线处填写采购标的对应的中小企业划分标准所属行业</w:t>
      </w:r>
      <w:r>
        <w:rPr>
          <w:rFonts w:hint="eastAsia" w:ascii="黑体" w:hAnsi="黑体" w:eastAsia="黑体" w:cs="黑体"/>
          <w:color w:val="0000FF"/>
          <w:sz w:val="25"/>
          <w:szCs w:val="25"/>
        </w:rPr>
        <w:t>（所属行业详见招标文件第一册第二章“对通用条款的补充内容及其他关键信息”章节或第三章用户需求书“服务需求明细”中的所属行业信息）</w:t>
      </w:r>
      <w:r>
        <w:rPr>
          <w:rFonts w:hint="eastAsia" w:ascii="黑体" w:hAnsi="黑体" w:eastAsia="黑体" w:cs="黑体"/>
          <w:color w:val="FF0000"/>
          <w:sz w:val="25"/>
          <w:szCs w:val="25"/>
        </w:rPr>
        <w:t>；</w:t>
      </w:r>
    </w:p>
    <w:p>
      <w:pPr>
        <w:snapToGrid w:val="0"/>
        <w:rPr>
          <w:rFonts w:ascii="黑体" w:hAnsi="黑体" w:eastAsia="黑体" w:cs="黑体"/>
          <w:color w:val="FF0000"/>
          <w:sz w:val="25"/>
          <w:szCs w:val="25"/>
        </w:rPr>
      </w:pPr>
      <w:r>
        <w:rPr>
          <w:rFonts w:hint="eastAsia" w:ascii="黑体" w:hAnsi="黑体" w:eastAsia="黑体" w:cs="黑体"/>
          <w:color w:val="FF0000"/>
          <w:sz w:val="25"/>
          <w:szCs w:val="25"/>
        </w:rPr>
        <w:t>第五处，在“企业名称”下划线处如实填写承接企业名称；在“从业人员”、“营业收入”、“资产总额”下划线处如实填写从业人员、营业收入、资产总额；在“中型企业、小型企业、微型企业”下划线处如实依照300号文填写相应的企业类型；从业人员、营业收入、资产总额填报上一年度数据，无上一年度数据的新成立企业可以不填报。</w:t>
      </w:r>
    </w:p>
    <w:p>
      <w:pPr>
        <w:snapToGrid w:val="0"/>
        <w:ind w:firstLine="500" w:firstLineChars="200"/>
        <w:rPr>
          <w:rFonts w:ascii="黑体" w:hAnsi="黑体" w:eastAsia="黑体" w:cs="黑体"/>
          <w:color w:val="FF0000"/>
          <w:sz w:val="25"/>
          <w:szCs w:val="25"/>
        </w:rPr>
      </w:pPr>
      <w:r>
        <w:rPr>
          <w:rFonts w:hint="eastAsia" w:ascii="黑体" w:hAnsi="黑体" w:eastAsia="黑体" w:cs="黑体"/>
          <w:color w:val="FF0000"/>
          <w:sz w:val="25"/>
          <w:szCs w:val="25"/>
        </w:rPr>
        <w:t>（2）声明是残疾人福利性单位须填写《残疾人福利性单位声明函》的相关内容，具体参照以上《中小企业声明函》填写要求执行。</w:t>
      </w:r>
    </w:p>
    <w:p>
      <w:pPr>
        <w:snapToGrid w:val="0"/>
        <w:ind w:firstLine="500" w:firstLineChars="200"/>
        <w:rPr>
          <w:rFonts w:ascii="黑体" w:hAnsi="黑体" w:eastAsia="黑体" w:cs="黑体"/>
          <w:color w:val="FF0000"/>
          <w:sz w:val="25"/>
          <w:szCs w:val="25"/>
        </w:rPr>
      </w:pPr>
      <w:r>
        <w:rPr>
          <w:rFonts w:hint="eastAsia" w:ascii="黑体" w:hAnsi="黑体" w:eastAsia="黑体" w:cs="黑体"/>
          <w:color w:val="FF0000"/>
          <w:sz w:val="25"/>
          <w:szCs w:val="25"/>
        </w:rPr>
        <w:t>（3）声明是监狱企业须填写《监狱企业声明函》的三项内容（填写位置的字体已加粗），具体参照以上《中小企业声明函》填写要求执行。</w:t>
      </w:r>
    </w:p>
    <w:p>
      <w:pPr>
        <w:snapToGrid w:val="0"/>
        <w:ind w:firstLine="500" w:firstLineChars="200"/>
        <w:rPr>
          <w:rFonts w:ascii="黑体" w:hAnsi="黑体" w:eastAsia="黑体" w:cs="黑体"/>
          <w:color w:val="FF0000"/>
          <w:sz w:val="25"/>
          <w:szCs w:val="25"/>
        </w:rPr>
      </w:pPr>
      <w:r>
        <w:rPr>
          <w:rFonts w:hint="eastAsia" w:ascii="黑体" w:hAnsi="黑体" w:eastAsia="黑体" w:cs="黑体"/>
          <w:color w:val="FF0000"/>
          <w:sz w:val="25"/>
          <w:szCs w:val="25"/>
        </w:rPr>
        <w:t>5、声明函的有效性最终由评审委员会判定；如评审委员会判定声明函无效，相关供应商不享受价格扣除（但不作投标无效处理）。</w:t>
      </w:r>
    </w:p>
    <w:p>
      <w:pPr>
        <w:widowControl/>
        <w:jc w:val="center"/>
        <w:outlineLvl w:val="4"/>
        <w:rPr>
          <w:rFonts w:ascii="Arial" w:hAnsi="Arial" w:eastAsia="宋体" w:cs="Times New Roman"/>
          <w:b/>
          <w:sz w:val="24"/>
          <w:szCs w:val="24"/>
        </w:rPr>
      </w:pPr>
      <w:r>
        <w:rPr>
          <w:rFonts w:ascii="宋体" w:hAnsi="宋体" w:eastAsia="宋体" w:cs="Times New Roman"/>
          <w:b/>
          <w:bCs/>
          <w:sz w:val="24"/>
          <w:szCs w:val="24"/>
        </w:rPr>
        <w:br w:type="page"/>
      </w:r>
      <w:r>
        <w:rPr>
          <w:rFonts w:ascii="宋体" w:hAnsi="宋体" w:eastAsia="宋体" w:cs="Times New Roman"/>
          <w:b/>
          <w:bCs/>
          <w:sz w:val="24"/>
          <w:szCs w:val="24"/>
        </w:rPr>
        <w:fldChar w:fldCharType="begin"/>
      </w:r>
      <w:r>
        <w:rPr>
          <w:rFonts w:hint="eastAsia" w:ascii="宋体" w:hAnsi="宋体" w:eastAsia="宋体" w:cs="Times New Roman"/>
          <w:b/>
          <w:sz w:val="24"/>
          <w:szCs w:val="24"/>
        </w:rPr>
        <w:instrText xml:space="preserve">= 1 \* GB3</w:instrText>
      </w:r>
      <w:r>
        <w:rPr>
          <w:rFonts w:ascii="宋体" w:hAnsi="宋体" w:eastAsia="宋体" w:cs="Times New Roman"/>
          <w:b/>
          <w:bCs/>
          <w:sz w:val="24"/>
          <w:szCs w:val="24"/>
        </w:rPr>
        <w:fldChar w:fldCharType="separate"/>
      </w:r>
      <w:r>
        <w:rPr>
          <w:rFonts w:hint="eastAsia" w:ascii="宋体" w:hAnsi="宋体" w:eastAsia="宋体" w:cs="Times New Roman"/>
          <w:b/>
          <w:sz w:val="24"/>
          <w:szCs w:val="24"/>
        </w:rPr>
        <w:t>①</w:t>
      </w:r>
      <w:r>
        <w:rPr>
          <w:rFonts w:ascii="宋体" w:hAnsi="宋体" w:eastAsia="宋体" w:cs="Times New Roman"/>
          <w:b/>
          <w:bCs/>
          <w:sz w:val="24"/>
          <w:szCs w:val="24"/>
        </w:rPr>
        <w:fldChar w:fldCharType="end"/>
      </w:r>
      <w:r>
        <w:rPr>
          <w:rFonts w:hint="eastAsia" w:ascii="Arial" w:hAnsi="Arial" w:eastAsia="宋体" w:cs="Times New Roman"/>
          <w:b/>
          <w:sz w:val="24"/>
          <w:szCs w:val="24"/>
        </w:rPr>
        <w:t>中小企业声明函（服务）</w:t>
      </w:r>
    </w:p>
    <w:p>
      <w:pPr>
        <w:spacing w:afterLines="25" w:line="300" w:lineRule="auto"/>
        <w:ind w:firstLine="420" w:firstLineChars="200"/>
        <w:rPr>
          <w:rFonts w:ascii="宋体" w:hAnsi="宋体" w:eastAsia="宋体" w:cs="Times New Roman"/>
          <w:szCs w:val="21"/>
        </w:rPr>
      </w:pPr>
      <w:r>
        <w:rPr>
          <w:rFonts w:ascii="宋体" w:hAnsi="宋体" w:eastAsia="宋体" w:cs="Times New Roman"/>
          <w:szCs w:val="21"/>
        </w:rPr>
        <w:t>本</w:t>
      </w:r>
      <w:r>
        <w:rPr>
          <w:rFonts w:hint="eastAsia" w:ascii="宋体" w:hAnsi="宋体" w:eastAsia="宋体" w:cs="Times New Roman"/>
          <w:szCs w:val="21"/>
        </w:rPr>
        <w:t>投标人</w:t>
      </w:r>
      <w:r>
        <w:rPr>
          <w:rFonts w:ascii="宋体" w:hAnsi="宋体" w:eastAsia="宋体" w:cs="Times New Roman"/>
          <w:szCs w:val="21"/>
        </w:rPr>
        <w:t>郑重声明，根据《政府采购促进中小企业发展管理办法》（财库</w:t>
      </w:r>
      <w:r>
        <w:rPr>
          <w:rFonts w:hint="eastAsia" w:ascii="宋体" w:hAnsi="宋体" w:eastAsia="宋体" w:cs="Times New Roman"/>
          <w:szCs w:val="21"/>
        </w:rPr>
        <w:t>﹝</w:t>
      </w:r>
      <w:r>
        <w:rPr>
          <w:rFonts w:ascii="宋体" w:hAnsi="宋体" w:eastAsia="宋体" w:cs="Times New Roman"/>
          <w:szCs w:val="21"/>
        </w:rPr>
        <w:t>2020</w:t>
      </w:r>
      <w:r>
        <w:rPr>
          <w:rFonts w:hint="eastAsia" w:ascii="宋体" w:hAnsi="宋体" w:eastAsia="宋体" w:cs="Times New Roman"/>
          <w:szCs w:val="21"/>
        </w:rPr>
        <w:t>﹞</w:t>
      </w:r>
      <w:r>
        <w:rPr>
          <w:rFonts w:ascii="宋体" w:hAnsi="宋体" w:eastAsia="宋体" w:cs="Times New Roman"/>
          <w:szCs w:val="21"/>
        </w:rPr>
        <w:t>46 号）的规定，本</w:t>
      </w:r>
      <w:r>
        <w:rPr>
          <w:rFonts w:hint="eastAsia" w:ascii="宋体" w:hAnsi="宋体" w:eastAsia="宋体" w:cs="Times New Roman"/>
          <w:szCs w:val="21"/>
        </w:rPr>
        <w:t>投标人</w:t>
      </w:r>
      <w:r>
        <w:rPr>
          <w:rFonts w:ascii="宋体" w:hAnsi="宋体" w:eastAsia="宋体" w:cs="Times New Roman"/>
          <w:szCs w:val="21"/>
        </w:rPr>
        <w:t>参加</w:t>
      </w:r>
      <w:r>
        <w:rPr>
          <w:rFonts w:ascii="宋体" w:hAnsi="宋体" w:eastAsia="宋体" w:cs="Times New Roman"/>
          <w:b/>
          <w:bCs/>
          <w:szCs w:val="21"/>
          <w:u w:val="single"/>
        </w:rPr>
        <w:t>（</w:t>
      </w:r>
      <w:r>
        <w:rPr>
          <w:rFonts w:hint="eastAsia" w:ascii="宋体" w:hAnsi="宋体" w:eastAsia="宋体" w:cs="Times New Roman"/>
          <w:b/>
          <w:bCs/>
          <w:szCs w:val="21"/>
          <w:u w:val="single"/>
        </w:rPr>
        <w:t>采购人</w:t>
      </w:r>
      <w:r>
        <w:rPr>
          <w:rFonts w:ascii="宋体" w:hAnsi="宋体" w:eastAsia="宋体" w:cs="Times New Roman"/>
          <w:b/>
          <w:bCs/>
          <w:szCs w:val="21"/>
          <w:u w:val="single"/>
        </w:rPr>
        <w:t>名称）</w:t>
      </w:r>
      <w:r>
        <w:rPr>
          <w:rFonts w:ascii="宋体" w:hAnsi="宋体" w:eastAsia="宋体" w:cs="Times New Roman"/>
          <w:szCs w:val="21"/>
        </w:rPr>
        <w:t>的</w:t>
      </w:r>
      <w:r>
        <w:rPr>
          <w:rFonts w:ascii="宋体" w:hAnsi="宋体" w:eastAsia="宋体" w:cs="Times New Roman"/>
          <w:b/>
          <w:bCs/>
          <w:szCs w:val="21"/>
          <w:u w:val="single"/>
        </w:rPr>
        <w:t>（项目名称）</w:t>
      </w:r>
      <w:r>
        <w:rPr>
          <w:rFonts w:ascii="宋体" w:hAnsi="宋体" w:eastAsia="宋体" w:cs="Times New Roman"/>
          <w:szCs w:val="21"/>
        </w:rPr>
        <w:t>采购活动，</w:t>
      </w:r>
      <w:r>
        <w:rPr>
          <w:rFonts w:hint="eastAsia" w:ascii="宋体" w:hAnsi="宋体" w:eastAsia="宋体" w:cs="Times New Roman"/>
          <w:szCs w:val="21"/>
        </w:rPr>
        <w:t>服务</w:t>
      </w:r>
      <w:r>
        <w:rPr>
          <w:rFonts w:ascii="宋体" w:hAnsi="宋体" w:eastAsia="宋体" w:cs="Times New Roman"/>
          <w:szCs w:val="21"/>
        </w:rPr>
        <w:t>全部由符合政策要求的中小企业</w:t>
      </w:r>
      <w:r>
        <w:rPr>
          <w:rFonts w:hint="eastAsia" w:ascii="宋体" w:hAnsi="宋体" w:eastAsia="宋体" w:cs="Times New Roman"/>
          <w:szCs w:val="21"/>
        </w:rPr>
        <w:t>承接</w:t>
      </w:r>
      <w:r>
        <w:rPr>
          <w:rFonts w:ascii="宋体" w:hAnsi="宋体" w:eastAsia="宋体" w:cs="Times New Roman"/>
          <w:szCs w:val="21"/>
        </w:rPr>
        <w:t>。相关企业的具体情况如下：</w:t>
      </w:r>
    </w:p>
    <w:p>
      <w:pPr>
        <w:spacing w:afterLines="25" w:line="300" w:lineRule="auto"/>
        <w:ind w:firstLine="420" w:firstLineChars="200"/>
        <w:rPr>
          <w:rFonts w:ascii="宋体" w:hAnsi="宋体" w:eastAsia="宋体" w:cs="Times New Roman"/>
          <w:szCs w:val="21"/>
        </w:rPr>
      </w:pPr>
      <w:r>
        <w:rPr>
          <w:rFonts w:ascii="宋体" w:hAnsi="宋体" w:eastAsia="宋体" w:cs="Times New Roman"/>
          <w:szCs w:val="21"/>
        </w:rPr>
        <w:t>1.</w:t>
      </w:r>
      <w:r>
        <w:rPr>
          <w:rFonts w:ascii="宋体" w:hAnsi="宋体" w:eastAsia="宋体" w:cs="Times New Roman"/>
          <w:b/>
          <w:bCs/>
          <w:szCs w:val="21"/>
          <w:u w:val="single"/>
        </w:rPr>
        <w:t xml:space="preserve"> （标的名称）</w:t>
      </w:r>
      <w:r>
        <w:rPr>
          <w:rFonts w:ascii="宋体" w:hAnsi="宋体" w:eastAsia="宋体" w:cs="Times New Roman"/>
          <w:szCs w:val="21"/>
        </w:rPr>
        <w:t xml:space="preserve"> ，属于</w:t>
      </w:r>
      <w:r>
        <w:rPr>
          <w:rFonts w:ascii="宋体" w:hAnsi="宋体" w:eastAsia="宋体" w:cs="Times New Roman"/>
          <w:b/>
          <w:bCs/>
          <w:szCs w:val="21"/>
          <w:u w:val="single"/>
        </w:rPr>
        <w:t>（</w:t>
      </w:r>
      <w:r>
        <w:rPr>
          <w:rFonts w:hint="eastAsia" w:ascii="宋体" w:hAnsi="宋体" w:eastAsia="宋体" w:cs="Times New Roman"/>
          <w:b/>
          <w:bCs/>
          <w:szCs w:val="21"/>
          <w:u w:val="single"/>
        </w:rPr>
        <w:t>招标</w:t>
      </w:r>
      <w:r>
        <w:rPr>
          <w:rFonts w:ascii="宋体" w:hAnsi="宋体" w:eastAsia="宋体" w:cs="Times New Roman"/>
          <w:b/>
          <w:bCs/>
          <w:szCs w:val="21"/>
          <w:u w:val="single"/>
        </w:rPr>
        <w:t xml:space="preserve">文件中明确的所属行业） </w:t>
      </w:r>
      <w:r>
        <w:rPr>
          <w:rFonts w:ascii="宋体" w:hAnsi="宋体" w:eastAsia="宋体" w:cs="Times New Roman"/>
          <w:szCs w:val="21"/>
        </w:rPr>
        <w:t>行业；</w:t>
      </w:r>
      <w:r>
        <w:rPr>
          <w:rFonts w:hint="eastAsia" w:ascii="宋体" w:hAnsi="宋体" w:eastAsia="宋体" w:cs="Times New Roman"/>
          <w:szCs w:val="21"/>
        </w:rPr>
        <w:t>承接企业</w:t>
      </w:r>
      <w:r>
        <w:rPr>
          <w:rFonts w:ascii="宋体" w:hAnsi="宋体" w:eastAsia="宋体" w:cs="Times New Roman"/>
          <w:szCs w:val="21"/>
        </w:rPr>
        <w:t>为</w:t>
      </w:r>
      <w:r>
        <w:rPr>
          <w:rFonts w:ascii="宋体" w:hAnsi="宋体" w:eastAsia="宋体" w:cs="Times New Roman"/>
          <w:b/>
          <w:bCs/>
          <w:szCs w:val="21"/>
          <w:u w:val="single"/>
        </w:rPr>
        <w:t>（企业名称）</w:t>
      </w:r>
      <w:r>
        <w:rPr>
          <w:rFonts w:ascii="宋体" w:hAnsi="宋体" w:eastAsia="宋体" w:cs="Times New Roman"/>
          <w:szCs w:val="21"/>
        </w:rPr>
        <w:t>，从业人员人，营业收入为万元，资产总额为万元 ，属于</w:t>
      </w:r>
      <w:r>
        <w:rPr>
          <w:rFonts w:ascii="宋体" w:hAnsi="宋体" w:eastAsia="宋体" w:cs="Times New Roman"/>
          <w:b/>
          <w:bCs/>
          <w:szCs w:val="21"/>
          <w:u w:val="single"/>
        </w:rPr>
        <w:t>（中型企业、小型企业、微型企业）</w:t>
      </w:r>
      <w:r>
        <w:rPr>
          <w:rFonts w:ascii="宋体" w:hAnsi="宋体" w:eastAsia="宋体" w:cs="Times New Roman"/>
          <w:szCs w:val="21"/>
        </w:rPr>
        <w:t xml:space="preserve">； </w:t>
      </w:r>
    </w:p>
    <w:p>
      <w:pPr>
        <w:spacing w:afterLines="25" w:line="300" w:lineRule="auto"/>
        <w:ind w:firstLine="420" w:firstLineChars="200"/>
        <w:rPr>
          <w:rFonts w:ascii="宋体" w:hAnsi="宋体" w:eastAsia="宋体" w:cs="Times New Roman"/>
          <w:szCs w:val="21"/>
        </w:rPr>
      </w:pPr>
      <w:r>
        <w:rPr>
          <w:rFonts w:ascii="宋体" w:hAnsi="宋体" w:eastAsia="宋体" w:cs="Times New Roman"/>
          <w:szCs w:val="21"/>
        </w:rPr>
        <w:t>2.</w:t>
      </w:r>
      <w:r>
        <w:rPr>
          <w:rFonts w:ascii="宋体" w:hAnsi="宋体" w:eastAsia="宋体" w:cs="Times New Roman"/>
          <w:b/>
          <w:bCs/>
          <w:szCs w:val="21"/>
          <w:u w:val="single"/>
        </w:rPr>
        <w:t xml:space="preserve"> （标的名称）</w:t>
      </w:r>
      <w:r>
        <w:rPr>
          <w:rFonts w:ascii="宋体" w:hAnsi="宋体" w:eastAsia="宋体" w:cs="Times New Roman"/>
          <w:szCs w:val="21"/>
        </w:rPr>
        <w:t xml:space="preserve"> ，属于</w:t>
      </w:r>
      <w:r>
        <w:rPr>
          <w:rFonts w:ascii="宋体" w:hAnsi="宋体" w:eastAsia="宋体" w:cs="Times New Roman"/>
          <w:b/>
          <w:bCs/>
          <w:szCs w:val="21"/>
          <w:u w:val="single"/>
        </w:rPr>
        <w:t>（</w:t>
      </w:r>
      <w:r>
        <w:rPr>
          <w:rFonts w:hint="eastAsia" w:ascii="宋体" w:hAnsi="宋体" w:eastAsia="宋体" w:cs="Times New Roman"/>
          <w:b/>
          <w:bCs/>
          <w:szCs w:val="21"/>
          <w:u w:val="single"/>
        </w:rPr>
        <w:t>招标</w:t>
      </w:r>
      <w:r>
        <w:rPr>
          <w:rFonts w:ascii="宋体" w:hAnsi="宋体" w:eastAsia="宋体" w:cs="Times New Roman"/>
          <w:b/>
          <w:bCs/>
          <w:szCs w:val="21"/>
          <w:u w:val="single"/>
        </w:rPr>
        <w:t xml:space="preserve">文件中明确的所属行业） </w:t>
      </w:r>
      <w:r>
        <w:rPr>
          <w:rFonts w:ascii="宋体" w:hAnsi="宋体" w:eastAsia="宋体" w:cs="Times New Roman"/>
          <w:szCs w:val="21"/>
        </w:rPr>
        <w:t>行业；</w:t>
      </w:r>
      <w:r>
        <w:rPr>
          <w:rFonts w:hint="eastAsia" w:ascii="宋体" w:hAnsi="宋体" w:eastAsia="宋体" w:cs="Times New Roman"/>
          <w:szCs w:val="21"/>
        </w:rPr>
        <w:t>承接企业</w:t>
      </w:r>
      <w:r>
        <w:rPr>
          <w:rFonts w:ascii="宋体" w:hAnsi="宋体" w:eastAsia="宋体" w:cs="Times New Roman"/>
          <w:szCs w:val="21"/>
        </w:rPr>
        <w:t>为</w:t>
      </w:r>
      <w:r>
        <w:rPr>
          <w:rFonts w:ascii="宋体" w:hAnsi="宋体" w:eastAsia="宋体" w:cs="Times New Roman"/>
          <w:b/>
          <w:bCs/>
          <w:szCs w:val="21"/>
          <w:u w:val="single"/>
        </w:rPr>
        <w:t>（企业名称）</w:t>
      </w:r>
      <w:r>
        <w:rPr>
          <w:rFonts w:ascii="宋体" w:hAnsi="宋体" w:eastAsia="宋体" w:cs="Times New Roman"/>
          <w:szCs w:val="21"/>
        </w:rPr>
        <w:t>，从业人员人，营业收入为万元，资产总额为万元 ，属于</w:t>
      </w:r>
      <w:r>
        <w:rPr>
          <w:rFonts w:ascii="宋体" w:hAnsi="宋体" w:eastAsia="宋体" w:cs="Times New Roman"/>
          <w:b/>
          <w:bCs/>
          <w:szCs w:val="21"/>
          <w:u w:val="single"/>
        </w:rPr>
        <w:t>（中型企业、小型企业、微型企业）</w:t>
      </w:r>
      <w:r>
        <w:rPr>
          <w:rFonts w:ascii="宋体" w:hAnsi="宋体" w:eastAsia="宋体" w:cs="Times New Roman"/>
          <w:szCs w:val="21"/>
        </w:rPr>
        <w:t xml:space="preserve">； </w:t>
      </w:r>
    </w:p>
    <w:p>
      <w:pPr>
        <w:spacing w:afterLines="25" w:line="300" w:lineRule="auto"/>
        <w:ind w:firstLine="420" w:firstLineChars="200"/>
        <w:rPr>
          <w:rFonts w:ascii="宋体" w:hAnsi="宋体" w:eastAsia="宋体" w:cs="Times New Roman"/>
          <w:szCs w:val="21"/>
        </w:rPr>
      </w:pPr>
      <w:r>
        <w:rPr>
          <w:rFonts w:ascii="宋体" w:hAnsi="宋体" w:eastAsia="宋体" w:cs="Times New Roman"/>
          <w:szCs w:val="21"/>
        </w:rPr>
        <w:t xml:space="preserve">…… </w:t>
      </w:r>
    </w:p>
    <w:p>
      <w:pPr>
        <w:spacing w:afterLines="25" w:line="300" w:lineRule="auto"/>
        <w:ind w:firstLine="420" w:firstLineChars="200"/>
        <w:rPr>
          <w:rFonts w:ascii="宋体" w:hAnsi="宋体" w:eastAsia="宋体" w:cs="Times New Roman"/>
          <w:szCs w:val="21"/>
        </w:rPr>
      </w:pPr>
      <w:r>
        <w:rPr>
          <w:rFonts w:ascii="宋体" w:hAnsi="宋体" w:eastAsia="宋体" w:cs="Times New Roman"/>
          <w:szCs w:val="21"/>
        </w:rPr>
        <w:t>以上企业，不属于大企业的分支机构，不存在控股股东为大企业的情形，也不存在与大企业的负责人为同一人的情形。</w:t>
      </w:r>
    </w:p>
    <w:p>
      <w:pPr>
        <w:spacing w:afterLines="25" w:line="300" w:lineRule="auto"/>
        <w:ind w:firstLine="420" w:firstLineChars="200"/>
        <w:rPr>
          <w:rFonts w:ascii="宋体" w:hAnsi="宋体" w:eastAsia="宋体" w:cs="Times New Roman"/>
          <w:szCs w:val="21"/>
        </w:rPr>
      </w:pPr>
      <w:bookmarkStart w:id="23" w:name="_Hlk73562275"/>
      <w:r>
        <w:rPr>
          <w:rFonts w:hint="eastAsia" w:ascii="宋体" w:hAnsi="宋体" w:eastAsia="宋体" w:cs="Times New Roman"/>
          <w:szCs w:val="21"/>
        </w:rPr>
        <w:t>本</w:t>
      </w:r>
      <w:r>
        <w:rPr>
          <w:rFonts w:ascii="宋体" w:hAnsi="宋体" w:eastAsia="宋体" w:cs="Times New Roman"/>
          <w:szCs w:val="21"/>
        </w:rPr>
        <w:t>投标人已知悉《政府采购促进中小企业发展管理办法》（财库〔2020〕46 号）、《中小企业划型标准规定》（工信部联企〔2011〕 300 号）、《统计上大中小微型企业划分办法（2017）》等规定，承诺提供的声明函内容是真实的，并知悉根据《政府采购促进中小企业发展管理办法》（财库〔2020〕46 号）第二十条规定，</w:t>
      </w:r>
      <w:r>
        <w:rPr>
          <w:rFonts w:hint="eastAsia" w:ascii="宋体" w:hAnsi="宋体" w:eastAsia="宋体" w:cs="Times New Roman"/>
          <w:szCs w:val="21"/>
        </w:rPr>
        <w:t>投标人</w:t>
      </w:r>
      <w:r>
        <w:rPr>
          <w:rFonts w:ascii="宋体" w:hAnsi="宋体" w:eastAsia="宋体" w:cs="Times New Roman"/>
          <w:szCs w:val="21"/>
        </w:rPr>
        <w:t>按照本办法规定提供声明函内容不实的，属于提供虚假材料谋取中标，依照《政府采购法》等政府采购有关法律法规规定追究相应责任</w:t>
      </w:r>
      <w:r>
        <w:rPr>
          <w:rFonts w:hint="eastAsia" w:ascii="宋体" w:hAnsi="宋体" w:eastAsia="宋体" w:cs="Times New Roman"/>
          <w:szCs w:val="21"/>
        </w:rPr>
        <w:t>。</w:t>
      </w:r>
      <w:bookmarkEnd w:id="23"/>
    </w:p>
    <w:p>
      <w:pPr>
        <w:spacing w:afterLines="25" w:line="300" w:lineRule="auto"/>
        <w:ind w:firstLine="420" w:firstLineChars="200"/>
        <w:jc w:val="center"/>
        <w:rPr>
          <w:rFonts w:ascii="宋体" w:hAnsi="宋体" w:eastAsia="宋体" w:cs="Times New Roman"/>
          <w:szCs w:val="21"/>
        </w:rPr>
      </w:pPr>
    </w:p>
    <w:p>
      <w:pPr>
        <w:wordWrap w:val="0"/>
        <w:spacing w:afterLines="25" w:line="300" w:lineRule="auto"/>
        <w:ind w:firstLine="420" w:firstLineChars="200"/>
        <w:jc w:val="right"/>
        <w:rPr>
          <w:rFonts w:ascii="宋体" w:hAnsi="宋体" w:eastAsia="宋体" w:cs="Times New Roman"/>
          <w:szCs w:val="21"/>
        </w:rPr>
      </w:pPr>
      <w:r>
        <w:rPr>
          <w:rFonts w:hint="eastAsia" w:ascii="宋体" w:hAnsi="宋体" w:eastAsia="宋体" w:cs="Times New Roman"/>
          <w:szCs w:val="21"/>
        </w:rPr>
        <w:t xml:space="preserve">     投标人（投标单位）：       </w:t>
      </w:r>
    </w:p>
    <w:p>
      <w:pPr>
        <w:wordWrap w:val="0"/>
        <w:spacing w:afterLines="25" w:line="300" w:lineRule="auto"/>
        <w:ind w:firstLine="420" w:firstLineChars="200"/>
        <w:jc w:val="right"/>
        <w:rPr>
          <w:rFonts w:ascii="宋体" w:hAnsi="宋体" w:eastAsia="宋体" w:cs="Times New Roman"/>
          <w:szCs w:val="21"/>
        </w:rPr>
      </w:pPr>
      <w:r>
        <w:rPr>
          <w:rFonts w:hint="eastAsia" w:ascii="宋体" w:hAnsi="宋体" w:eastAsia="宋体" w:cs="Times New Roman"/>
          <w:szCs w:val="21"/>
        </w:rPr>
        <w:t xml:space="preserve">日期：       </w:t>
      </w:r>
    </w:p>
    <w:p>
      <w:pPr>
        <w:spacing w:afterLines="25" w:line="300" w:lineRule="auto"/>
        <w:ind w:firstLine="482" w:firstLineChars="200"/>
        <w:jc w:val="center"/>
        <w:rPr>
          <w:rFonts w:ascii="Arial" w:hAnsi="Arial" w:eastAsia="宋体" w:cs="Times New Roman"/>
          <w:b/>
          <w:sz w:val="24"/>
          <w:szCs w:val="24"/>
        </w:rPr>
      </w:pPr>
    </w:p>
    <w:p>
      <w:pPr>
        <w:spacing w:afterLines="25" w:line="560" w:lineRule="exact"/>
        <w:ind w:firstLine="482" w:firstLineChars="200"/>
        <w:rPr>
          <w:rFonts w:ascii="Arial" w:hAnsi="Arial" w:eastAsia="宋体" w:cs="Times New Roman"/>
          <w:b/>
          <w:sz w:val="24"/>
          <w:szCs w:val="24"/>
        </w:rPr>
      </w:pPr>
    </w:p>
    <w:p>
      <w:pPr>
        <w:spacing w:afterLines="25" w:line="300" w:lineRule="auto"/>
        <w:ind w:firstLine="422" w:firstLineChars="200"/>
        <w:rPr>
          <w:rFonts w:ascii="宋体" w:hAnsi="宋体" w:eastAsia="宋体" w:cs="Times New Roman"/>
          <w:szCs w:val="21"/>
          <w:highlight w:val="yellow"/>
        </w:rPr>
      </w:pPr>
      <w:r>
        <w:rPr>
          <w:rFonts w:hint="eastAsia" w:ascii="Arial" w:hAnsi="Arial" w:eastAsia="宋体" w:cs="Times New Roman"/>
          <w:b/>
          <w:szCs w:val="21"/>
          <w:highlight w:val="yellow"/>
        </w:rPr>
        <w:t>说明：</w:t>
      </w:r>
      <w:r>
        <w:rPr>
          <w:rFonts w:hint="eastAsia" w:ascii="宋体" w:hAnsi="宋体" w:eastAsia="宋体" w:cs="Times New Roman"/>
          <w:szCs w:val="21"/>
          <w:highlight w:val="yellow"/>
        </w:rPr>
        <w:t>对中小企业的认定，由货物制造商或者工程、服务供应商注册登记所在地的县级以上人民政府中小企业主管部门负责。如因供应商提供的《中小企业声明函》引起的质疑、投诉、信访或其他方式情况反映等，供应商须自行澄清，并提供由中小企业主管部门出具的企业划型证明。对于不能出具企业划型证明的供应商，自行承担由此产生的一切后果，包括声明内容视为无效、不享受相关政府采购优惠政策等。</w:t>
      </w:r>
    </w:p>
    <w:p>
      <w:pPr>
        <w:spacing w:afterLines="25" w:line="300" w:lineRule="auto"/>
        <w:ind w:firstLine="420" w:firstLineChars="200"/>
        <w:rPr>
          <w:rFonts w:ascii="宋体" w:hAnsi="宋体" w:eastAsia="宋体" w:cs="Times New Roman"/>
          <w:color w:val="FF0000"/>
          <w:szCs w:val="21"/>
          <w:highlight w:val="yellow"/>
        </w:rPr>
      </w:pPr>
    </w:p>
    <w:p>
      <w:pPr>
        <w:spacing w:afterLines="25" w:line="300" w:lineRule="auto"/>
        <w:jc w:val="center"/>
        <w:outlineLvl w:val="4"/>
        <w:rPr>
          <w:rFonts w:ascii="Arial" w:hAnsi="Arial" w:eastAsia="宋体" w:cs="Times New Roman"/>
          <w:b/>
          <w:sz w:val="24"/>
          <w:szCs w:val="24"/>
        </w:rPr>
      </w:pPr>
      <w:r>
        <w:rPr>
          <w:rFonts w:ascii="宋体" w:hAnsi="宋体" w:eastAsia="宋体" w:cs="Times New Roman"/>
          <w:b/>
          <w:sz w:val="24"/>
          <w:szCs w:val="24"/>
        </w:rPr>
        <w:br w:type="page"/>
      </w:r>
      <w:r>
        <w:rPr>
          <w:rFonts w:hint="eastAsia" w:ascii="宋体" w:hAnsi="宋体" w:eastAsia="宋体" w:cs="Times New Roman"/>
          <w:b/>
          <w:sz w:val="24"/>
          <w:szCs w:val="24"/>
        </w:rPr>
        <w:t>②残疾人福利性单位声明函（服务）</w:t>
      </w:r>
    </w:p>
    <w:p>
      <w:pPr>
        <w:spacing w:afterLines="25" w:line="300" w:lineRule="auto"/>
        <w:ind w:firstLine="420" w:firstLineChars="200"/>
        <w:rPr>
          <w:rFonts w:cs="Times New Roman" w:asciiTheme="minorEastAsia" w:hAnsiTheme="minorEastAsia"/>
          <w:szCs w:val="21"/>
        </w:rPr>
      </w:pPr>
      <w:r>
        <w:rPr>
          <w:rFonts w:cs="Times New Roman" w:asciiTheme="minorEastAsia" w:hAnsiTheme="minorEastAsia"/>
          <w:szCs w:val="21"/>
        </w:rPr>
        <w:t>本</w:t>
      </w:r>
      <w:r>
        <w:rPr>
          <w:rFonts w:hint="eastAsia" w:cs="Times New Roman" w:asciiTheme="minorEastAsia" w:hAnsiTheme="minorEastAsia"/>
          <w:szCs w:val="21"/>
        </w:rPr>
        <w:t>投标人郑重声明，根据《财政部民政部中国残疾人联合会关于促进残疾人就业政府采购政策的通知》（财库〔</w:t>
      </w:r>
      <w:r>
        <w:rPr>
          <w:rFonts w:cs="Times New Roman" w:asciiTheme="minorEastAsia" w:hAnsiTheme="minorEastAsia"/>
          <w:szCs w:val="21"/>
        </w:rPr>
        <w:t>2017</w:t>
      </w:r>
      <w:r>
        <w:rPr>
          <w:rFonts w:hint="eastAsia" w:cs="Times New Roman" w:asciiTheme="minorEastAsia" w:hAnsiTheme="minorEastAsia"/>
          <w:szCs w:val="21"/>
        </w:rPr>
        <w:t>〕</w:t>
      </w:r>
      <w:r>
        <w:rPr>
          <w:rFonts w:cs="Times New Roman" w:asciiTheme="minorEastAsia" w:hAnsiTheme="minorEastAsia"/>
          <w:szCs w:val="21"/>
        </w:rPr>
        <w:t xml:space="preserve">141 </w:t>
      </w:r>
      <w:r>
        <w:rPr>
          <w:rFonts w:hint="eastAsia" w:cs="Times New Roman" w:asciiTheme="minorEastAsia" w:hAnsiTheme="minorEastAsia"/>
          <w:szCs w:val="21"/>
        </w:rPr>
        <w:t>号）的规定，本投标人</w:t>
      </w:r>
      <w:r>
        <w:rPr>
          <w:rFonts w:cs="Times New Roman" w:asciiTheme="minorEastAsia" w:hAnsiTheme="minorEastAsia"/>
          <w:szCs w:val="21"/>
        </w:rPr>
        <w:t>参加</w:t>
      </w:r>
      <w:r>
        <w:rPr>
          <w:rFonts w:cs="Times New Roman" w:asciiTheme="minorEastAsia" w:hAnsiTheme="minorEastAsia"/>
          <w:b/>
          <w:bCs/>
          <w:szCs w:val="21"/>
          <w:u w:val="single"/>
        </w:rPr>
        <w:t>（</w:t>
      </w:r>
      <w:r>
        <w:rPr>
          <w:rFonts w:hint="eastAsia" w:cs="Times New Roman" w:asciiTheme="minorEastAsia" w:hAnsiTheme="minorEastAsia"/>
          <w:b/>
          <w:bCs/>
          <w:szCs w:val="21"/>
          <w:u w:val="single"/>
        </w:rPr>
        <w:t>采购人</w:t>
      </w:r>
      <w:r>
        <w:rPr>
          <w:rFonts w:cs="Times New Roman" w:asciiTheme="minorEastAsia" w:hAnsiTheme="minorEastAsia"/>
          <w:b/>
          <w:bCs/>
          <w:szCs w:val="21"/>
          <w:u w:val="single"/>
        </w:rPr>
        <w:t>名称）</w:t>
      </w:r>
      <w:r>
        <w:rPr>
          <w:rFonts w:cs="Times New Roman" w:asciiTheme="minorEastAsia" w:hAnsiTheme="minorEastAsia"/>
          <w:szCs w:val="21"/>
        </w:rPr>
        <w:t>的</w:t>
      </w:r>
      <w:r>
        <w:rPr>
          <w:rFonts w:cs="Times New Roman" w:asciiTheme="minorEastAsia" w:hAnsiTheme="minorEastAsia"/>
          <w:b/>
          <w:bCs/>
          <w:szCs w:val="21"/>
          <w:u w:val="single"/>
        </w:rPr>
        <w:t>（项目名称）</w:t>
      </w:r>
      <w:r>
        <w:rPr>
          <w:rFonts w:cs="Times New Roman" w:asciiTheme="minorEastAsia" w:hAnsiTheme="minorEastAsia"/>
          <w:szCs w:val="21"/>
        </w:rPr>
        <w:t>采购活动，</w:t>
      </w:r>
      <w:r>
        <w:rPr>
          <w:rFonts w:hint="eastAsia" w:cs="Times New Roman" w:asciiTheme="minorEastAsia" w:hAnsiTheme="minorEastAsia"/>
          <w:szCs w:val="21"/>
        </w:rPr>
        <w:t>服务</w:t>
      </w:r>
      <w:r>
        <w:rPr>
          <w:rFonts w:cs="Times New Roman" w:asciiTheme="minorEastAsia" w:hAnsiTheme="minorEastAsia"/>
          <w:szCs w:val="21"/>
        </w:rPr>
        <w:t>全部由符合政策要求的</w:t>
      </w:r>
      <w:r>
        <w:rPr>
          <w:rFonts w:hint="eastAsia" w:cs="Times New Roman" w:asciiTheme="minorEastAsia" w:hAnsiTheme="minorEastAsia"/>
          <w:szCs w:val="21"/>
        </w:rPr>
        <w:t>残疾人福利性单位承接</w:t>
      </w:r>
      <w:r>
        <w:rPr>
          <w:rFonts w:cs="Times New Roman" w:asciiTheme="minorEastAsia" w:hAnsiTheme="minorEastAsia"/>
          <w:szCs w:val="21"/>
        </w:rPr>
        <w:t>。相关</w:t>
      </w:r>
      <w:r>
        <w:rPr>
          <w:rFonts w:hint="eastAsia" w:cs="Times New Roman" w:asciiTheme="minorEastAsia" w:hAnsiTheme="minorEastAsia"/>
          <w:szCs w:val="21"/>
        </w:rPr>
        <w:t>残疾人福利性单位</w:t>
      </w:r>
      <w:r>
        <w:rPr>
          <w:rFonts w:cs="Times New Roman" w:asciiTheme="minorEastAsia" w:hAnsiTheme="minorEastAsia"/>
          <w:szCs w:val="21"/>
        </w:rPr>
        <w:t>的具体情况如下：</w:t>
      </w:r>
    </w:p>
    <w:p>
      <w:pPr>
        <w:spacing w:afterLines="25" w:line="300" w:lineRule="auto"/>
        <w:ind w:firstLine="420" w:firstLineChars="200"/>
        <w:rPr>
          <w:rFonts w:cs="Times New Roman" w:asciiTheme="minorEastAsia" w:hAnsiTheme="minorEastAsia"/>
          <w:szCs w:val="21"/>
        </w:rPr>
      </w:pPr>
      <w:r>
        <w:rPr>
          <w:rFonts w:cs="Times New Roman" w:asciiTheme="minorEastAsia" w:hAnsiTheme="minorEastAsia"/>
          <w:szCs w:val="21"/>
        </w:rPr>
        <w:t>1.</w:t>
      </w:r>
      <w:r>
        <w:rPr>
          <w:rFonts w:cs="Times New Roman" w:asciiTheme="minorEastAsia" w:hAnsiTheme="minorEastAsia"/>
          <w:b/>
          <w:bCs/>
          <w:szCs w:val="21"/>
          <w:u w:val="single"/>
        </w:rPr>
        <w:t xml:space="preserve"> （标的名称）</w:t>
      </w:r>
      <w:r>
        <w:rPr>
          <w:rFonts w:hint="eastAsia" w:cs="Times New Roman" w:asciiTheme="minorEastAsia" w:hAnsiTheme="minorEastAsia"/>
          <w:szCs w:val="21"/>
        </w:rPr>
        <w:t>，承接企业</w:t>
      </w:r>
      <w:r>
        <w:rPr>
          <w:rFonts w:cs="Times New Roman" w:asciiTheme="minorEastAsia" w:hAnsiTheme="minorEastAsia"/>
          <w:szCs w:val="21"/>
        </w:rPr>
        <w:t>为</w:t>
      </w:r>
      <w:r>
        <w:rPr>
          <w:rFonts w:cs="Times New Roman" w:asciiTheme="minorEastAsia" w:hAnsiTheme="minorEastAsia"/>
          <w:b/>
          <w:bCs/>
          <w:szCs w:val="21"/>
          <w:u w:val="single"/>
        </w:rPr>
        <w:t>（</w:t>
      </w:r>
      <w:r>
        <w:rPr>
          <w:rFonts w:hint="eastAsia" w:cs="Times New Roman" w:asciiTheme="minorEastAsia" w:hAnsiTheme="minorEastAsia"/>
          <w:b/>
          <w:bCs/>
          <w:szCs w:val="21"/>
          <w:u w:val="single"/>
        </w:rPr>
        <w:t>单位</w:t>
      </w:r>
      <w:r>
        <w:rPr>
          <w:rFonts w:cs="Times New Roman" w:asciiTheme="minorEastAsia" w:hAnsiTheme="minorEastAsia"/>
          <w:b/>
          <w:bCs/>
          <w:szCs w:val="21"/>
          <w:u w:val="single"/>
        </w:rPr>
        <w:t>名称）</w:t>
      </w:r>
      <w:r>
        <w:rPr>
          <w:rFonts w:cs="Times New Roman" w:asciiTheme="minorEastAsia" w:hAnsiTheme="minorEastAsia"/>
          <w:szCs w:val="21"/>
        </w:rPr>
        <w:t>，属于</w:t>
      </w:r>
      <w:r>
        <w:rPr>
          <w:rFonts w:hint="eastAsia" w:cs="Times New Roman" w:asciiTheme="minorEastAsia" w:hAnsiTheme="minorEastAsia"/>
          <w:b/>
          <w:bCs/>
          <w:szCs w:val="21"/>
          <w:u w:val="single"/>
        </w:rPr>
        <w:t>残疾人福利性单位</w:t>
      </w:r>
      <w:r>
        <w:rPr>
          <w:rFonts w:cs="Times New Roman" w:asciiTheme="minorEastAsia" w:hAnsiTheme="minorEastAsia"/>
          <w:szCs w:val="21"/>
        </w:rPr>
        <w:t>；</w:t>
      </w:r>
    </w:p>
    <w:p>
      <w:pPr>
        <w:spacing w:afterLines="25" w:line="300" w:lineRule="auto"/>
        <w:ind w:firstLine="420" w:firstLineChars="200"/>
        <w:rPr>
          <w:rFonts w:cs="Times New Roman" w:asciiTheme="minorEastAsia" w:hAnsiTheme="minorEastAsia"/>
          <w:szCs w:val="21"/>
        </w:rPr>
      </w:pPr>
      <w:r>
        <w:rPr>
          <w:rFonts w:cs="Times New Roman" w:asciiTheme="minorEastAsia" w:hAnsiTheme="minorEastAsia"/>
          <w:szCs w:val="21"/>
        </w:rPr>
        <w:t>2.</w:t>
      </w:r>
      <w:r>
        <w:rPr>
          <w:rFonts w:cs="Times New Roman" w:asciiTheme="minorEastAsia" w:hAnsiTheme="minorEastAsia"/>
          <w:b/>
          <w:bCs/>
          <w:szCs w:val="21"/>
          <w:u w:val="single"/>
        </w:rPr>
        <w:t xml:space="preserve"> （标的名称）</w:t>
      </w:r>
      <w:r>
        <w:rPr>
          <w:rFonts w:hint="eastAsia" w:cs="Times New Roman" w:asciiTheme="minorEastAsia" w:hAnsiTheme="minorEastAsia"/>
          <w:szCs w:val="21"/>
        </w:rPr>
        <w:t>，承接企业</w:t>
      </w:r>
      <w:r>
        <w:rPr>
          <w:rFonts w:cs="Times New Roman" w:asciiTheme="minorEastAsia" w:hAnsiTheme="minorEastAsia"/>
          <w:szCs w:val="21"/>
        </w:rPr>
        <w:t>为</w:t>
      </w:r>
      <w:r>
        <w:rPr>
          <w:rFonts w:cs="Times New Roman" w:asciiTheme="minorEastAsia" w:hAnsiTheme="minorEastAsia"/>
          <w:b/>
          <w:bCs/>
          <w:szCs w:val="21"/>
          <w:u w:val="single"/>
        </w:rPr>
        <w:t>（</w:t>
      </w:r>
      <w:r>
        <w:rPr>
          <w:rFonts w:hint="eastAsia" w:cs="Times New Roman" w:asciiTheme="minorEastAsia" w:hAnsiTheme="minorEastAsia"/>
          <w:b/>
          <w:bCs/>
          <w:szCs w:val="21"/>
          <w:u w:val="single"/>
        </w:rPr>
        <w:t>单位</w:t>
      </w:r>
      <w:r>
        <w:rPr>
          <w:rFonts w:cs="Times New Roman" w:asciiTheme="minorEastAsia" w:hAnsiTheme="minorEastAsia"/>
          <w:b/>
          <w:bCs/>
          <w:szCs w:val="21"/>
          <w:u w:val="single"/>
        </w:rPr>
        <w:t>名称）</w:t>
      </w:r>
      <w:r>
        <w:rPr>
          <w:rFonts w:cs="Times New Roman" w:asciiTheme="minorEastAsia" w:hAnsiTheme="minorEastAsia"/>
          <w:szCs w:val="21"/>
        </w:rPr>
        <w:t>，属于</w:t>
      </w:r>
      <w:r>
        <w:rPr>
          <w:rFonts w:hint="eastAsia" w:cs="Times New Roman" w:asciiTheme="minorEastAsia" w:hAnsiTheme="minorEastAsia"/>
          <w:b/>
          <w:bCs/>
          <w:szCs w:val="21"/>
          <w:u w:val="single"/>
        </w:rPr>
        <w:t>残疾人福利性单位</w:t>
      </w:r>
      <w:r>
        <w:rPr>
          <w:rFonts w:hint="eastAsia" w:cs="Times New Roman" w:asciiTheme="minorEastAsia" w:hAnsiTheme="minorEastAsia"/>
          <w:szCs w:val="21"/>
        </w:rPr>
        <w:t>。</w:t>
      </w:r>
    </w:p>
    <w:p>
      <w:pPr>
        <w:spacing w:afterLines="25" w:line="300" w:lineRule="auto"/>
        <w:ind w:firstLine="420" w:firstLineChars="200"/>
        <w:rPr>
          <w:rFonts w:cs="Times New Roman" w:asciiTheme="minorEastAsia" w:hAnsiTheme="minorEastAsia"/>
          <w:szCs w:val="21"/>
        </w:rPr>
      </w:pPr>
      <w:r>
        <w:rPr>
          <w:rFonts w:cs="Times New Roman" w:asciiTheme="minorEastAsia" w:hAnsiTheme="minorEastAsia"/>
          <w:szCs w:val="21"/>
        </w:rPr>
        <w:t xml:space="preserve">…… </w:t>
      </w:r>
    </w:p>
    <w:p>
      <w:pPr>
        <w:spacing w:afterLines="25" w:line="300" w:lineRule="auto"/>
        <w:ind w:firstLine="420" w:firstLineChars="200"/>
        <w:rPr>
          <w:rFonts w:cs="Times New Roman" w:asciiTheme="minorEastAsia" w:hAnsiTheme="minorEastAsia"/>
          <w:szCs w:val="21"/>
        </w:rPr>
      </w:pPr>
      <w:r>
        <w:rPr>
          <w:rFonts w:hint="eastAsia" w:cs="Times New Roman" w:asciiTheme="minorEastAsia" w:hAnsiTheme="minorEastAsia"/>
          <w:szCs w:val="21"/>
        </w:rPr>
        <w:t>本</w:t>
      </w:r>
      <w:r>
        <w:rPr>
          <w:rFonts w:cs="Times New Roman" w:asciiTheme="minorEastAsia" w:hAnsiTheme="minorEastAsia"/>
          <w:szCs w:val="21"/>
        </w:rPr>
        <w:t>投标人</w:t>
      </w:r>
      <w:r>
        <w:rPr>
          <w:rFonts w:hint="eastAsia" w:cs="Times New Roman" w:asciiTheme="minorEastAsia" w:hAnsiTheme="minorEastAsia"/>
          <w:szCs w:val="21"/>
        </w:rPr>
        <w:t>已</w:t>
      </w:r>
      <w:r>
        <w:rPr>
          <w:rFonts w:cs="Times New Roman" w:asciiTheme="minorEastAsia" w:hAnsiTheme="minorEastAsia"/>
          <w:szCs w:val="21"/>
        </w:rPr>
        <w:t>知悉</w:t>
      </w:r>
      <w:r>
        <w:rPr>
          <w:rFonts w:hint="eastAsia" w:cs="Times New Roman" w:asciiTheme="minorEastAsia" w:hAnsiTheme="minorEastAsia"/>
          <w:szCs w:val="21"/>
        </w:rPr>
        <w:t>《财政部民政部中国残疾人联合会关于促进残疾人就业政府采购政策的通知》（财库〔2017〕141 号）</w:t>
      </w:r>
      <w:r>
        <w:rPr>
          <w:rFonts w:cs="Times New Roman" w:asciiTheme="minorEastAsia" w:hAnsiTheme="minorEastAsia"/>
          <w:szCs w:val="21"/>
        </w:rPr>
        <w:t>的规定，承诺提供的声明函内容是真实的，如提供声明函内容不实，则依法追究相关法律责任</w:t>
      </w:r>
      <w:r>
        <w:rPr>
          <w:rFonts w:hint="eastAsia" w:cs="Times New Roman" w:asciiTheme="minorEastAsia" w:hAnsiTheme="minorEastAsia"/>
          <w:szCs w:val="21"/>
        </w:rPr>
        <w:t>。</w:t>
      </w:r>
    </w:p>
    <w:p>
      <w:pPr>
        <w:spacing w:afterLines="25" w:line="560" w:lineRule="exact"/>
        <w:ind w:firstLine="420" w:firstLineChars="200"/>
        <w:jc w:val="center"/>
        <w:rPr>
          <w:rFonts w:cs="Times New Roman" w:asciiTheme="minorEastAsia" w:hAnsiTheme="minorEastAsia"/>
          <w:szCs w:val="24"/>
        </w:rPr>
      </w:pPr>
    </w:p>
    <w:p>
      <w:pPr>
        <w:wordWrap w:val="0"/>
        <w:spacing w:afterLines="25" w:line="300" w:lineRule="auto"/>
        <w:ind w:firstLine="420" w:firstLineChars="200"/>
        <w:jc w:val="right"/>
        <w:rPr>
          <w:rFonts w:cs="Times New Roman" w:asciiTheme="minorEastAsia" w:hAnsiTheme="minorEastAsia"/>
          <w:szCs w:val="21"/>
        </w:rPr>
      </w:pPr>
      <w:r>
        <w:rPr>
          <w:rFonts w:hint="eastAsia" w:cs="Times New Roman" w:asciiTheme="minorEastAsia" w:hAnsiTheme="minorEastAsia"/>
          <w:szCs w:val="21"/>
        </w:rPr>
        <w:t xml:space="preserve">投标人（投标单位）：       </w:t>
      </w:r>
    </w:p>
    <w:p>
      <w:pPr>
        <w:wordWrap w:val="0"/>
        <w:spacing w:afterLines="25" w:line="300" w:lineRule="auto"/>
        <w:ind w:firstLine="420" w:firstLineChars="200"/>
        <w:jc w:val="right"/>
        <w:rPr>
          <w:rFonts w:cs="Times New Roman" w:asciiTheme="minorEastAsia" w:hAnsiTheme="minorEastAsia"/>
          <w:szCs w:val="21"/>
        </w:rPr>
      </w:pPr>
      <w:r>
        <w:rPr>
          <w:rFonts w:hint="eastAsia" w:cs="Times New Roman" w:asciiTheme="minorEastAsia" w:hAnsiTheme="minorEastAsia"/>
          <w:szCs w:val="21"/>
        </w:rPr>
        <w:t xml:space="preserve">日期：       </w:t>
      </w:r>
    </w:p>
    <w:p>
      <w:pPr>
        <w:spacing w:afterLines="25" w:line="560" w:lineRule="exact"/>
        <w:ind w:firstLine="420" w:firstLineChars="200"/>
        <w:jc w:val="center"/>
        <w:rPr>
          <w:rFonts w:cs="Times New Roman" w:asciiTheme="minorEastAsia" w:hAnsiTheme="minorEastAsia"/>
          <w:szCs w:val="24"/>
        </w:rPr>
      </w:pPr>
    </w:p>
    <w:p>
      <w:pPr>
        <w:spacing w:afterLines="25" w:line="560" w:lineRule="exact"/>
        <w:ind w:firstLine="420" w:firstLineChars="200"/>
        <w:jc w:val="center"/>
        <w:rPr>
          <w:rFonts w:cs="Times New Roman" w:asciiTheme="minorEastAsia" w:hAnsiTheme="minorEastAsia"/>
          <w:szCs w:val="24"/>
        </w:rPr>
      </w:pPr>
    </w:p>
    <w:p>
      <w:pPr>
        <w:spacing w:afterLines="25" w:line="300" w:lineRule="auto"/>
        <w:ind w:firstLine="422" w:firstLineChars="200"/>
        <w:rPr>
          <w:rFonts w:ascii="宋体" w:hAnsi="宋体" w:eastAsia="宋体" w:cs="Times New Roman"/>
          <w:szCs w:val="21"/>
          <w:highlight w:val="yellow"/>
        </w:rPr>
      </w:pPr>
      <w:r>
        <w:rPr>
          <w:rFonts w:hint="eastAsia" w:ascii="宋体" w:hAnsi="宋体" w:eastAsia="宋体" w:cs="Times New Roman"/>
          <w:b/>
          <w:szCs w:val="21"/>
          <w:highlight w:val="yellow"/>
        </w:rPr>
        <w:t>说明：</w:t>
      </w:r>
      <w:r>
        <w:rPr>
          <w:rFonts w:hint="eastAsia" w:ascii="宋体" w:hAnsi="宋体" w:eastAsia="宋体" w:cs="Times New Roman"/>
          <w:szCs w:val="21"/>
          <w:highlight w:val="yellow"/>
        </w:rPr>
        <w:t>根据财库〔2017〕141号文件的规定,享受政府采购支持政策的残疾人福利性单位应当同时满足以下条件：</w:t>
      </w:r>
    </w:p>
    <w:p>
      <w:pPr>
        <w:spacing w:afterLines="25" w:line="300" w:lineRule="auto"/>
        <w:ind w:firstLine="420" w:firstLineChars="200"/>
        <w:rPr>
          <w:rFonts w:ascii="宋体" w:hAnsi="宋体" w:eastAsia="宋体" w:cs="Times New Roman"/>
          <w:szCs w:val="21"/>
          <w:highlight w:val="yellow"/>
        </w:rPr>
      </w:pPr>
      <w:r>
        <w:rPr>
          <w:rFonts w:hint="eastAsia" w:ascii="宋体" w:hAnsi="宋体" w:eastAsia="宋体" w:cs="Times New Roman"/>
          <w:szCs w:val="21"/>
          <w:highlight w:val="yellow"/>
        </w:rPr>
        <w:t>（一）</w:t>
      </w:r>
      <w:r>
        <w:rPr>
          <w:rFonts w:hint="eastAsia" w:ascii="宋体" w:hAnsi="宋体" w:eastAsia="宋体" w:cs="Times New Roman"/>
          <w:b/>
          <w:szCs w:val="21"/>
          <w:highlight w:val="yellow"/>
        </w:rPr>
        <w:t>安置的残疾人占本单位在职职工人数的比例不低于25%（含25%），并且安置的残疾人人数不少于10人（含10人）</w:t>
      </w:r>
      <w:r>
        <w:rPr>
          <w:rFonts w:hint="eastAsia" w:ascii="宋体" w:hAnsi="宋体" w:eastAsia="宋体" w:cs="Times New Roman"/>
          <w:szCs w:val="21"/>
          <w:highlight w:val="yellow"/>
        </w:rPr>
        <w:t>；</w:t>
      </w:r>
    </w:p>
    <w:p>
      <w:pPr>
        <w:spacing w:afterLines="25" w:line="300" w:lineRule="auto"/>
        <w:ind w:firstLine="420" w:firstLineChars="200"/>
        <w:rPr>
          <w:rFonts w:ascii="宋体" w:hAnsi="宋体" w:eastAsia="宋体" w:cs="Times New Roman"/>
          <w:szCs w:val="21"/>
          <w:highlight w:val="yellow"/>
        </w:rPr>
      </w:pPr>
      <w:r>
        <w:rPr>
          <w:rFonts w:hint="eastAsia" w:ascii="宋体" w:hAnsi="宋体" w:eastAsia="宋体" w:cs="Times New Roman"/>
          <w:szCs w:val="21"/>
          <w:highlight w:val="yellow"/>
        </w:rPr>
        <w:t>（二）依法与安置的每位残疾人签订了一年以上（含一年）的劳动合同或服务协议；</w:t>
      </w:r>
    </w:p>
    <w:p>
      <w:pPr>
        <w:spacing w:afterLines="25" w:line="300" w:lineRule="auto"/>
        <w:ind w:firstLine="420" w:firstLineChars="200"/>
        <w:rPr>
          <w:rFonts w:ascii="宋体" w:hAnsi="宋体" w:eastAsia="宋体" w:cs="Times New Roman"/>
          <w:szCs w:val="21"/>
          <w:highlight w:val="yellow"/>
        </w:rPr>
      </w:pPr>
      <w:r>
        <w:rPr>
          <w:rFonts w:hint="eastAsia" w:ascii="宋体" w:hAnsi="宋体" w:eastAsia="宋体" w:cs="Times New Roman"/>
          <w:szCs w:val="21"/>
          <w:highlight w:val="yellow"/>
        </w:rPr>
        <w:t>（三）为安置的每位残疾人按月足额缴纳了基本养老保险、基本医疗保险、失业保险、工伤保险和生育保险等社会保险费；</w:t>
      </w:r>
    </w:p>
    <w:p>
      <w:pPr>
        <w:spacing w:afterLines="25" w:line="300" w:lineRule="auto"/>
        <w:ind w:firstLine="420" w:firstLineChars="200"/>
        <w:rPr>
          <w:rFonts w:ascii="宋体" w:hAnsi="宋体" w:eastAsia="宋体" w:cs="Times New Roman"/>
          <w:szCs w:val="21"/>
          <w:highlight w:val="yellow"/>
        </w:rPr>
      </w:pPr>
      <w:r>
        <w:rPr>
          <w:rFonts w:hint="eastAsia" w:ascii="宋体" w:hAnsi="宋体" w:eastAsia="宋体" w:cs="Times New Roman"/>
          <w:szCs w:val="21"/>
          <w:highlight w:val="yellow"/>
        </w:rPr>
        <w:t>（四）通过银行等金融机构向安置的每位残疾人，按月支付了不低于单位所在区县适用的经省级人民政府批准的月最低工资标准的工资；</w:t>
      </w:r>
    </w:p>
    <w:p>
      <w:pPr>
        <w:spacing w:afterLines="25" w:line="300" w:lineRule="auto"/>
        <w:ind w:firstLine="420" w:firstLineChars="200"/>
        <w:rPr>
          <w:rFonts w:ascii="宋体" w:hAnsi="宋体" w:eastAsia="宋体" w:cs="Times New Roman"/>
          <w:szCs w:val="21"/>
        </w:rPr>
      </w:pPr>
      <w:r>
        <w:rPr>
          <w:rFonts w:hint="eastAsia" w:ascii="宋体" w:hAnsi="宋体" w:eastAsia="宋体" w:cs="Times New Roman"/>
          <w:szCs w:val="21"/>
          <w:highlight w:val="yellow"/>
        </w:rPr>
        <w:t>（五）提供本单位制造的货物、承担的工程或者服务（以下简称产品），或者提供其他残疾人福利性单位制造的货物（不包括使用非残疾人福利性单位注册商标的货物）。前款所称残疾人是指法定劳动年龄内，持有《中华人民共和国残疾人证》或者《中华人民共和国残疾军人证（1至8级）》的自然人，包括具有劳动条件和劳动意愿的精神残疾人。在职职工人数是指与残疾人福利性单位建立劳动关系并依法签订劳动合同或者服务协议的雇员人数。</w:t>
      </w:r>
    </w:p>
    <w:p>
      <w:pPr>
        <w:widowControl/>
        <w:jc w:val="left"/>
        <w:rPr>
          <w:rFonts w:ascii="宋体" w:hAnsi="宋体" w:eastAsia="宋体" w:cs="Times New Roman"/>
          <w:b/>
          <w:sz w:val="24"/>
          <w:szCs w:val="24"/>
        </w:rPr>
      </w:pPr>
      <w:r>
        <w:rPr>
          <w:rFonts w:ascii="宋体" w:hAnsi="宋体" w:eastAsia="宋体" w:cs="Times New Roman"/>
          <w:b/>
          <w:sz w:val="24"/>
          <w:szCs w:val="24"/>
        </w:rPr>
        <w:br w:type="page"/>
      </w:r>
    </w:p>
    <w:p>
      <w:pPr>
        <w:spacing w:afterLines="25" w:line="300" w:lineRule="auto"/>
        <w:ind w:firstLine="482" w:firstLineChars="200"/>
        <w:jc w:val="center"/>
        <w:outlineLvl w:val="4"/>
        <w:rPr>
          <w:rFonts w:ascii="Arial" w:hAnsi="Arial" w:eastAsia="宋体" w:cs="Times New Roman"/>
          <w:b/>
          <w:sz w:val="24"/>
          <w:szCs w:val="24"/>
        </w:rPr>
      </w:pPr>
      <w:r>
        <w:rPr>
          <w:rFonts w:hint="eastAsia" w:ascii="宋体" w:hAnsi="宋体" w:eastAsia="宋体" w:cs="Times New Roman"/>
          <w:b/>
          <w:sz w:val="24"/>
          <w:szCs w:val="24"/>
        </w:rPr>
        <w:t>③</w:t>
      </w:r>
      <w:r>
        <w:rPr>
          <w:rFonts w:hint="eastAsia" w:ascii="Arial" w:hAnsi="Arial" w:eastAsia="宋体" w:cs="Times New Roman"/>
          <w:b/>
          <w:sz w:val="24"/>
          <w:szCs w:val="24"/>
        </w:rPr>
        <w:t>监狱企业声明函（服务）</w:t>
      </w:r>
    </w:p>
    <w:p>
      <w:pPr>
        <w:spacing w:afterLines="25" w:line="300" w:lineRule="auto"/>
        <w:ind w:firstLine="420" w:firstLineChars="200"/>
        <w:rPr>
          <w:rFonts w:ascii="宋体" w:hAnsi="宋体" w:eastAsia="宋体" w:cs="Times New Roman"/>
          <w:szCs w:val="21"/>
        </w:rPr>
      </w:pPr>
      <w:r>
        <w:rPr>
          <w:rFonts w:hint="eastAsia" w:ascii="宋体" w:hAnsi="宋体" w:eastAsia="宋体" w:cs="Times New Roman"/>
          <w:szCs w:val="21"/>
        </w:rPr>
        <w:t>本投标人郑重声明，根据《财政部司法部关于政府采购支持监狱企业发展有关问题的通知》（财库〔</w:t>
      </w:r>
      <w:r>
        <w:rPr>
          <w:rFonts w:ascii="宋体" w:hAnsi="宋体" w:eastAsia="宋体" w:cs="Times New Roman"/>
          <w:szCs w:val="21"/>
        </w:rPr>
        <w:t>2014</w:t>
      </w:r>
      <w:r>
        <w:rPr>
          <w:rFonts w:hint="eastAsia" w:ascii="宋体" w:hAnsi="宋体" w:eastAsia="宋体" w:cs="Times New Roman"/>
          <w:szCs w:val="21"/>
        </w:rPr>
        <w:t>〕</w:t>
      </w:r>
      <w:r>
        <w:rPr>
          <w:rFonts w:ascii="宋体" w:hAnsi="宋体" w:eastAsia="宋体" w:cs="Times New Roman"/>
          <w:szCs w:val="21"/>
        </w:rPr>
        <w:t>68</w:t>
      </w:r>
      <w:r>
        <w:rPr>
          <w:rFonts w:hint="eastAsia" w:ascii="宋体" w:hAnsi="宋体" w:eastAsia="宋体" w:cs="Times New Roman"/>
          <w:szCs w:val="21"/>
        </w:rPr>
        <w:t>号）的规定，本投标人</w:t>
      </w:r>
      <w:r>
        <w:rPr>
          <w:rFonts w:ascii="宋体" w:hAnsi="宋体" w:eastAsia="宋体" w:cs="Times New Roman"/>
          <w:szCs w:val="21"/>
        </w:rPr>
        <w:t>参加</w:t>
      </w:r>
      <w:r>
        <w:rPr>
          <w:rFonts w:ascii="宋体" w:hAnsi="宋体" w:eastAsia="宋体" w:cs="Times New Roman"/>
          <w:b/>
          <w:bCs/>
          <w:szCs w:val="21"/>
          <w:u w:val="single"/>
        </w:rPr>
        <w:t>（</w:t>
      </w:r>
      <w:r>
        <w:rPr>
          <w:rFonts w:hint="eastAsia" w:ascii="宋体" w:hAnsi="宋体" w:eastAsia="宋体" w:cs="Times New Roman"/>
          <w:b/>
          <w:bCs/>
          <w:szCs w:val="21"/>
          <w:u w:val="single"/>
        </w:rPr>
        <w:t>采购人</w:t>
      </w:r>
      <w:r>
        <w:rPr>
          <w:rFonts w:ascii="宋体" w:hAnsi="宋体" w:eastAsia="宋体" w:cs="Times New Roman"/>
          <w:b/>
          <w:bCs/>
          <w:szCs w:val="21"/>
          <w:u w:val="single"/>
        </w:rPr>
        <w:t>名称）</w:t>
      </w:r>
      <w:r>
        <w:rPr>
          <w:rFonts w:ascii="宋体" w:hAnsi="宋体" w:eastAsia="宋体" w:cs="Times New Roman"/>
          <w:szCs w:val="21"/>
        </w:rPr>
        <w:t>的</w:t>
      </w:r>
      <w:r>
        <w:rPr>
          <w:rFonts w:ascii="宋体" w:hAnsi="宋体" w:eastAsia="宋体" w:cs="Times New Roman"/>
          <w:b/>
          <w:bCs/>
          <w:szCs w:val="21"/>
          <w:u w:val="single"/>
        </w:rPr>
        <w:t>（项目名称）</w:t>
      </w:r>
      <w:r>
        <w:rPr>
          <w:rFonts w:ascii="宋体" w:hAnsi="宋体" w:eastAsia="宋体" w:cs="Times New Roman"/>
          <w:szCs w:val="21"/>
        </w:rPr>
        <w:t>采购活动，</w:t>
      </w:r>
      <w:r>
        <w:rPr>
          <w:rFonts w:hint="eastAsia" w:ascii="宋体" w:hAnsi="宋体" w:eastAsia="宋体" w:cs="Times New Roman"/>
          <w:szCs w:val="21"/>
        </w:rPr>
        <w:t>服务</w:t>
      </w:r>
      <w:r>
        <w:rPr>
          <w:rFonts w:ascii="宋体" w:hAnsi="宋体" w:eastAsia="宋体" w:cs="Times New Roman"/>
          <w:szCs w:val="21"/>
        </w:rPr>
        <w:t>全部由符合政策要求的</w:t>
      </w:r>
      <w:r>
        <w:rPr>
          <w:rFonts w:hint="eastAsia" w:ascii="宋体" w:hAnsi="宋体" w:eastAsia="宋体" w:cs="Times New Roman"/>
          <w:szCs w:val="21"/>
        </w:rPr>
        <w:t>监狱企业承接</w:t>
      </w:r>
      <w:r>
        <w:rPr>
          <w:rFonts w:ascii="宋体" w:hAnsi="宋体" w:eastAsia="宋体" w:cs="Times New Roman"/>
          <w:szCs w:val="21"/>
        </w:rPr>
        <w:t>。相关</w:t>
      </w:r>
      <w:r>
        <w:rPr>
          <w:rFonts w:hint="eastAsia" w:ascii="宋体" w:hAnsi="宋体" w:eastAsia="宋体" w:cs="Times New Roman"/>
          <w:szCs w:val="21"/>
        </w:rPr>
        <w:t>监狱企业</w:t>
      </w:r>
      <w:r>
        <w:rPr>
          <w:rFonts w:ascii="宋体" w:hAnsi="宋体" w:eastAsia="宋体" w:cs="Times New Roman"/>
          <w:szCs w:val="21"/>
        </w:rPr>
        <w:t>的具体情况如下：</w:t>
      </w:r>
    </w:p>
    <w:p>
      <w:pPr>
        <w:spacing w:afterLines="25" w:line="300" w:lineRule="auto"/>
        <w:ind w:firstLine="420" w:firstLineChars="200"/>
        <w:rPr>
          <w:rFonts w:ascii="宋体" w:hAnsi="宋体" w:eastAsia="宋体" w:cs="Times New Roman"/>
          <w:szCs w:val="21"/>
        </w:rPr>
      </w:pPr>
      <w:r>
        <w:rPr>
          <w:rFonts w:ascii="宋体" w:hAnsi="宋体" w:eastAsia="宋体" w:cs="Times New Roman"/>
          <w:szCs w:val="21"/>
        </w:rPr>
        <w:t>1.</w:t>
      </w:r>
      <w:r>
        <w:rPr>
          <w:rFonts w:ascii="宋体" w:hAnsi="宋体" w:eastAsia="宋体" w:cs="Times New Roman"/>
          <w:b/>
          <w:bCs/>
          <w:szCs w:val="21"/>
          <w:u w:val="single"/>
        </w:rPr>
        <w:t xml:space="preserve"> （标的名称）</w:t>
      </w:r>
      <w:r>
        <w:rPr>
          <w:rFonts w:hint="eastAsia" w:ascii="宋体" w:hAnsi="宋体" w:eastAsia="宋体" w:cs="Times New Roman"/>
          <w:szCs w:val="21"/>
        </w:rPr>
        <w:t>，承接单位</w:t>
      </w:r>
      <w:r>
        <w:rPr>
          <w:rFonts w:ascii="宋体" w:hAnsi="宋体" w:eastAsia="宋体" w:cs="Times New Roman"/>
          <w:szCs w:val="21"/>
        </w:rPr>
        <w:t>为</w:t>
      </w:r>
      <w:r>
        <w:rPr>
          <w:rFonts w:ascii="宋体" w:hAnsi="宋体" w:eastAsia="宋体" w:cs="Times New Roman"/>
          <w:b/>
          <w:bCs/>
          <w:szCs w:val="21"/>
          <w:u w:val="single"/>
        </w:rPr>
        <w:t>（</w:t>
      </w:r>
      <w:r>
        <w:rPr>
          <w:rFonts w:hint="eastAsia" w:ascii="宋体" w:hAnsi="宋体" w:eastAsia="宋体" w:cs="Times New Roman"/>
          <w:b/>
          <w:bCs/>
          <w:szCs w:val="21"/>
          <w:u w:val="single"/>
        </w:rPr>
        <w:t>企业</w:t>
      </w:r>
      <w:r>
        <w:rPr>
          <w:rFonts w:ascii="宋体" w:hAnsi="宋体" w:eastAsia="宋体" w:cs="Times New Roman"/>
          <w:b/>
          <w:bCs/>
          <w:szCs w:val="21"/>
          <w:u w:val="single"/>
        </w:rPr>
        <w:t>名称）</w:t>
      </w:r>
      <w:r>
        <w:rPr>
          <w:rFonts w:ascii="宋体" w:hAnsi="宋体" w:eastAsia="宋体" w:cs="Times New Roman"/>
          <w:szCs w:val="21"/>
        </w:rPr>
        <w:t>，属于</w:t>
      </w:r>
      <w:r>
        <w:rPr>
          <w:rFonts w:hint="eastAsia" w:ascii="宋体" w:hAnsi="宋体" w:eastAsia="宋体" w:cs="Times New Roman"/>
          <w:b/>
          <w:bCs/>
          <w:szCs w:val="21"/>
          <w:u w:val="single"/>
        </w:rPr>
        <w:t>监狱企业</w:t>
      </w:r>
      <w:r>
        <w:rPr>
          <w:rFonts w:ascii="宋体" w:hAnsi="宋体" w:eastAsia="宋体" w:cs="Times New Roman"/>
          <w:szCs w:val="21"/>
        </w:rPr>
        <w:t>；</w:t>
      </w:r>
    </w:p>
    <w:p>
      <w:pPr>
        <w:spacing w:afterLines="25" w:line="300" w:lineRule="auto"/>
        <w:ind w:firstLine="420" w:firstLineChars="200"/>
        <w:rPr>
          <w:rFonts w:ascii="宋体" w:hAnsi="宋体" w:eastAsia="宋体" w:cs="Times New Roman"/>
          <w:szCs w:val="21"/>
        </w:rPr>
      </w:pPr>
      <w:r>
        <w:rPr>
          <w:rFonts w:ascii="宋体" w:hAnsi="宋体" w:eastAsia="宋体" w:cs="Times New Roman"/>
          <w:szCs w:val="21"/>
        </w:rPr>
        <w:t>2.</w:t>
      </w:r>
      <w:r>
        <w:rPr>
          <w:rFonts w:ascii="宋体" w:hAnsi="宋体" w:eastAsia="宋体" w:cs="Times New Roman"/>
          <w:b/>
          <w:bCs/>
          <w:szCs w:val="21"/>
          <w:u w:val="single"/>
        </w:rPr>
        <w:t xml:space="preserve"> （标的名称）</w:t>
      </w:r>
      <w:r>
        <w:rPr>
          <w:rFonts w:hint="eastAsia" w:ascii="宋体" w:hAnsi="宋体" w:eastAsia="宋体" w:cs="Times New Roman"/>
          <w:szCs w:val="21"/>
        </w:rPr>
        <w:t>，承接单位</w:t>
      </w:r>
      <w:r>
        <w:rPr>
          <w:rFonts w:ascii="宋体" w:hAnsi="宋体" w:eastAsia="宋体" w:cs="Times New Roman"/>
          <w:szCs w:val="21"/>
        </w:rPr>
        <w:t>为</w:t>
      </w:r>
      <w:r>
        <w:rPr>
          <w:rFonts w:ascii="宋体" w:hAnsi="宋体" w:eastAsia="宋体" w:cs="Times New Roman"/>
          <w:b/>
          <w:bCs/>
          <w:szCs w:val="21"/>
          <w:u w:val="single"/>
        </w:rPr>
        <w:t>（</w:t>
      </w:r>
      <w:r>
        <w:rPr>
          <w:rFonts w:hint="eastAsia" w:ascii="宋体" w:hAnsi="宋体" w:eastAsia="宋体" w:cs="Times New Roman"/>
          <w:b/>
          <w:bCs/>
          <w:szCs w:val="21"/>
          <w:u w:val="single"/>
        </w:rPr>
        <w:t>企业</w:t>
      </w:r>
      <w:r>
        <w:rPr>
          <w:rFonts w:ascii="宋体" w:hAnsi="宋体" w:eastAsia="宋体" w:cs="Times New Roman"/>
          <w:b/>
          <w:bCs/>
          <w:szCs w:val="21"/>
          <w:u w:val="single"/>
        </w:rPr>
        <w:t>名称）</w:t>
      </w:r>
      <w:r>
        <w:rPr>
          <w:rFonts w:ascii="宋体" w:hAnsi="宋体" w:eastAsia="宋体" w:cs="Times New Roman"/>
          <w:szCs w:val="21"/>
        </w:rPr>
        <w:t>，属于</w:t>
      </w:r>
      <w:r>
        <w:rPr>
          <w:rFonts w:hint="eastAsia" w:ascii="宋体" w:hAnsi="宋体" w:eastAsia="宋体" w:cs="Times New Roman"/>
          <w:b/>
          <w:bCs/>
          <w:szCs w:val="21"/>
          <w:u w:val="single"/>
        </w:rPr>
        <w:t>监狱企业</w:t>
      </w:r>
      <w:r>
        <w:rPr>
          <w:rFonts w:hint="eastAsia" w:ascii="宋体" w:hAnsi="宋体" w:eastAsia="宋体" w:cs="Times New Roman"/>
          <w:szCs w:val="21"/>
        </w:rPr>
        <w:t>。</w:t>
      </w:r>
    </w:p>
    <w:p>
      <w:pPr>
        <w:spacing w:afterLines="25" w:line="300" w:lineRule="auto"/>
        <w:ind w:firstLine="420" w:firstLineChars="200"/>
        <w:rPr>
          <w:rFonts w:ascii="宋体" w:hAnsi="宋体" w:eastAsia="宋体" w:cs="Times New Roman"/>
          <w:szCs w:val="21"/>
        </w:rPr>
      </w:pPr>
      <w:r>
        <w:rPr>
          <w:rFonts w:ascii="宋体" w:hAnsi="宋体" w:eastAsia="宋体" w:cs="Times New Roman"/>
          <w:szCs w:val="21"/>
        </w:rPr>
        <w:t xml:space="preserve">…… </w:t>
      </w:r>
    </w:p>
    <w:p>
      <w:pPr>
        <w:spacing w:afterLines="25" w:line="300" w:lineRule="auto"/>
        <w:ind w:firstLine="420" w:firstLineChars="200"/>
        <w:rPr>
          <w:rFonts w:ascii="宋体" w:hAnsi="宋体" w:eastAsia="宋体" w:cs="Times New Roman"/>
          <w:szCs w:val="21"/>
        </w:rPr>
      </w:pPr>
      <w:r>
        <w:rPr>
          <w:rFonts w:ascii="宋体" w:hAnsi="宋体" w:eastAsia="宋体" w:cs="Times New Roman"/>
          <w:szCs w:val="21"/>
        </w:rPr>
        <w:t>本</w:t>
      </w:r>
      <w:r>
        <w:rPr>
          <w:rFonts w:hint="eastAsia" w:ascii="宋体" w:hAnsi="宋体" w:eastAsia="宋体" w:cs="Times New Roman"/>
          <w:szCs w:val="21"/>
        </w:rPr>
        <w:t>投标人</w:t>
      </w:r>
      <w:r>
        <w:rPr>
          <w:rFonts w:ascii="宋体" w:hAnsi="宋体" w:eastAsia="宋体" w:cs="Times New Roman"/>
          <w:szCs w:val="21"/>
        </w:rPr>
        <w:t>对上述声明内容的真实性负责。如有虚假，将依法承担相应责任。</w:t>
      </w:r>
    </w:p>
    <w:p>
      <w:pPr>
        <w:spacing w:afterLines="25" w:line="300" w:lineRule="auto"/>
        <w:ind w:firstLine="420" w:firstLineChars="200"/>
        <w:rPr>
          <w:rFonts w:ascii="宋体" w:hAnsi="宋体" w:eastAsia="宋体" w:cs="Times New Roman"/>
          <w:szCs w:val="21"/>
        </w:rPr>
      </w:pPr>
    </w:p>
    <w:p>
      <w:pPr>
        <w:spacing w:afterLines="25" w:line="300" w:lineRule="auto"/>
        <w:ind w:firstLine="422" w:firstLineChars="200"/>
        <w:rPr>
          <w:rFonts w:ascii="宋体" w:hAnsi="宋体" w:eastAsia="宋体" w:cs="Times New Roman"/>
          <w:b/>
          <w:color w:val="FF0000"/>
          <w:szCs w:val="21"/>
        </w:rPr>
      </w:pPr>
      <w:r>
        <w:rPr>
          <w:rFonts w:hint="eastAsia" w:ascii="宋体" w:hAnsi="宋体" w:eastAsia="宋体" w:cs="Times New Roman"/>
          <w:b/>
          <w:color w:val="FF0000"/>
          <w:szCs w:val="21"/>
        </w:rPr>
        <w:t>附：省级以上监狱管理局、戒毒管理局（含新疆生产建设兵团）出具的监狱企业证明文件。</w:t>
      </w:r>
    </w:p>
    <w:p>
      <w:pPr>
        <w:spacing w:afterLines="25" w:line="300" w:lineRule="auto"/>
        <w:rPr>
          <w:rFonts w:ascii="宋体" w:hAnsi="宋体" w:eastAsia="宋体" w:cs="Times New Roman"/>
          <w:szCs w:val="21"/>
        </w:rPr>
      </w:pPr>
    </w:p>
    <w:p>
      <w:pPr>
        <w:spacing w:afterLines="25" w:line="300" w:lineRule="auto"/>
        <w:rPr>
          <w:rFonts w:ascii="宋体" w:hAnsi="宋体" w:eastAsia="宋体" w:cs="Times New Roman"/>
          <w:szCs w:val="21"/>
        </w:rPr>
      </w:pPr>
    </w:p>
    <w:p>
      <w:pPr>
        <w:spacing w:afterLines="25" w:line="300" w:lineRule="auto"/>
        <w:rPr>
          <w:rFonts w:ascii="宋体" w:hAnsi="宋体" w:eastAsia="宋体" w:cs="Times New Roman"/>
          <w:szCs w:val="21"/>
        </w:rPr>
      </w:pPr>
    </w:p>
    <w:p>
      <w:pPr>
        <w:wordWrap w:val="0"/>
        <w:spacing w:afterLines="25" w:line="300" w:lineRule="auto"/>
        <w:ind w:firstLine="420" w:firstLineChars="200"/>
        <w:jc w:val="right"/>
        <w:rPr>
          <w:rFonts w:ascii="宋体" w:hAnsi="宋体" w:eastAsia="宋体" w:cs="Times New Roman"/>
          <w:szCs w:val="21"/>
        </w:rPr>
      </w:pPr>
      <w:r>
        <w:rPr>
          <w:rFonts w:hint="eastAsia" w:ascii="宋体" w:hAnsi="宋体" w:eastAsia="宋体" w:cs="Times New Roman"/>
          <w:szCs w:val="21"/>
        </w:rPr>
        <w:t xml:space="preserve">投标人（投标单位）：       </w:t>
      </w:r>
    </w:p>
    <w:p>
      <w:pPr>
        <w:wordWrap w:val="0"/>
        <w:spacing w:afterLines="25" w:line="300" w:lineRule="auto"/>
        <w:ind w:firstLine="420" w:firstLineChars="200"/>
        <w:jc w:val="right"/>
        <w:rPr>
          <w:rFonts w:ascii="宋体" w:hAnsi="宋体" w:eastAsia="宋体" w:cs="Times New Roman"/>
          <w:szCs w:val="21"/>
        </w:rPr>
      </w:pPr>
      <w:r>
        <w:rPr>
          <w:rFonts w:hint="eastAsia" w:ascii="宋体" w:hAnsi="宋体" w:eastAsia="宋体" w:cs="Times New Roman"/>
          <w:szCs w:val="21"/>
        </w:rPr>
        <w:t xml:space="preserve">日期：       </w:t>
      </w:r>
    </w:p>
    <w:p>
      <w:pPr>
        <w:widowControl/>
        <w:jc w:val="left"/>
        <w:rPr>
          <w:rFonts w:ascii="宋体" w:hAnsi="宋体" w:eastAsia="宋体" w:cs="Times New Roman"/>
          <w:b/>
          <w:sz w:val="24"/>
          <w:szCs w:val="24"/>
        </w:rPr>
      </w:pPr>
      <w:r>
        <w:rPr>
          <w:rFonts w:ascii="宋体" w:hAnsi="宋体" w:eastAsia="宋体" w:cs="Times New Roman"/>
          <w:b/>
          <w:sz w:val="24"/>
          <w:szCs w:val="24"/>
        </w:rPr>
        <w:br w:type="page"/>
      </w:r>
    </w:p>
    <w:p>
      <w:pPr>
        <w:spacing w:afterLines="25" w:line="300" w:lineRule="auto"/>
        <w:ind w:firstLine="482" w:firstLineChars="200"/>
        <w:jc w:val="center"/>
        <w:outlineLvl w:val="4"/>
        <w:rPr>
          <w:rFonts w:ascii="宋体" w:hAnsi="宋体" w:eastAsia="宋体" w:cs="Times New Roman"/>
          <w:b/>
          <w:szCs w:val="21"/>
        </w:rPr>
      </w:pPr>
      <w:r>
        <w:rPr>
          <w:rFonts w:hint="eastAsia" w:ascii="宋体" w:hAnsi="宋体" w:eastAsia="宋体" w:cs="Times New Roman"/>
          <w:b/>
          <w:sz w:val="24"/>
          <w:szCs w:val="24"/>
        </w:rPr>
        <w:t>④</w:t>
      </w:r>
      <w:r>
        <w:rPr>
          <w:rFonts w:hint="eastAsia" w:ascii="宋体" w:hAnsi="宋体" w:eastAsia="宋体" w:cs="Times New Roman"/>
          <w:b/>
          <w:szCs w:val="21"/>
        </w:rPr>
        <w:t>含有优惠主体的联合体声明函</w:t>
      </w:r>
    </w:p>
    <w:p>
      <w:pPr>
        <w:spacing w:afterLines="25" w:line="300" w:lineRule="auto"/>
        <w:ind w:firstLine="420" w:firstLineChars="200"/>
        <w:rPr>
          <w:rFonts w:ascii="宋体" w:hAnsi="宋体" w:eastAsia="宋体" w:cs="Times New Roman"/>
          <w:szCs w:val="21"/>
        </w:rPr>
      </w:pPr>
      <w:r>
        <w:rPr>
          <w:rFonts w:hint="eastAsia" w:ascii="宋体" w:hAnsi="宋体" w:eastAsia="宋体" w:cs="Times New Roman"/>
          <w:szCs w:val="21"/>
          <w:u w:val="single"/>
        </w:rPr>
        <w:t xml:space="preserve">  （供应商名称、供应商名称）  </w:t>
      </w:r>
      <w:r>
        <w:rPr>
          <w:rFonts w:hint="eastAsia" w:ascii="宋体" w:hAnsi="宋体" w:eastAsia="宋体" w:cs="Times New Roman"/>
          <w:szCs w:val="21"/>
        </w:rPr>
        <w:t>共同组成联合体（详见联合体协议）。本联合体</w:t>
      </w:r>
      <w:r>
        <w:rPr>
          <w:rFonts w:ascii="宋体" w:hAnsi="宋体" w:eastAsia="宋体" w:cs="Times New Roman"/>
          <w:szCs w:val="21"/>
        </w:rPr>
        <w:t>参加</w:t>
      </w:r>
      <w:r>
        <w:rPr>
          <w:rFonts w:ascii="宋体" w:hAnsi="宋体" w:eastAsia="宋体" w:cs="Times New Roman"/>
          <w:b/>
          <w:bCs/>
          <w:szCs w:val="21"/>
          <w:u w:val="single"/>
        </w:rPr>
        <w:t>（</w:t>
      </w:r>
      <w:r>
        <w:rPr>
          <w:rFonts w:hint="eastAsia" w:ascii="宋体" w:hAnsi="宋体" w:eastAsia="宋体" w:cs="Times New Roman"/>
          <w:b/>
          <w:bCs/>
          <w:szCs w:val="21"/>
          <w:u w:val="single"/>
        </w:rPr>
        <w:t>采购人</w:t>
      </w:r>
      <w:r>
        <w:rPr>
          <w:rFonts w:ascii="宋体" w:hAnsi="宋体" w:eastAsia="宋体" w:cs="Times New Roman"/>
          <w:b/>
          <w:bCs/>
          <w:szCs w:val="21"/>
          <w:u w:val="single"/>
        </w:rPr>
        <w:t>名称）</w:t>
      </w:r>
      <w:r>
        <w:rPr>
          <w:rFonts w:ascii="宋体" w:hAnsi="宋体" w:eastAsia="宋体" w:cs="Times New Roman"/>
          <w:szCs w:val="21"/>
        </w:rPr>
        <w:t>的</w:t>
      </w:r>
      <w:r>
        <w:rPr>
          <w:rFonts w:ascii="宋体" w:hAnsi="宋体" w:eastAsia="宋体" w:cs="Times New Roman"/>
          <w:b/>
          <w:bCs/>
          <w:szCs w:val="21"/>
          <w:u w:val="single"/>
        </w:rPr>
        <w:t>（项目名称）</w:t>
      </w:r>
      <w:r>
        <w:rPr>
          <w:rFonts w:ascii="宋体" w:hAnsi="宋体" w:eastAsia="宋体" w:cs="Times New Roman"/>
          <w:szCs w:val="21"/>
        </w:rPr>
        <w:t>采购活动</w:t>
      </w:r>
      <w:r>
        <w:rPr>
          <w:rFonts w:hint="eastAsia" w:ascii="宋体" w:hAnsi="宋体" w:eastAsia="宋体" w:cs="Times New Roman"/>
          <w:szCs w:val="21"/>
        </w:rPr>
        <w:t>，郑重声明：</w:t>
      </w:r>
    </w:p>
    <w:p>
      <w:pPr>
        <w:spacing w:afterLines="25" w:line="300" w:lineRule="auto"/>
        <w:ind w:firstLine="420" w:firstLineChars="200"/>
        <w:rPr>
          <w:rFonts w:ascii="宋体" w:hAnsi="宋体" w:eastAsia="宋体" w:cs="Times New Roman"/>
          <w:szCs w:val="21"/>
        </w:rPr>
      </w:pPr>
      <w:r>
        <w:rPr>
          <w:rFonts w:ascii="宋体" w:hAnsi="宋体" w:eastAsia="宋体" w:cs="Times New Roman"/>
          <w:szCs w:val="21"/>
        </w:rPr>
        <w:t>1.</w:t>
      </w:r>
      <w:r>
        <w:rPr>
          <w:rFonts w:ascii="宋体" w:hAnsi="宋体" w:eastAsia="宋体" w:cs="Times New Roman"/>
          <w:b/>
          <w:bCs/>
          <w:szCs w:val="21"/>
          <w:u w:val="single"/>
        </w:rPr>
        <w:t>（标的名称）</w:t>
      </w:r>
      <w:r>
        <w:rPr>
          <w:rFonts w:ascii="宋体" w:hAnsi="宋体" w:eastAsia="宋体" w:cs="Times New Roman"/>
          <w:szCs w:val="21"/>
        </w:rPr>
        <w:t>，属于</w:t>
      </w:r>
      <w:r>
        <w:rPr>
          <w:rFonts w:ascii="宋体" w:hAnsi="宋体" w:eastAsia="宋体" w:cs="Times New Roman"/>
          <w:b/>
          <w:bCs/>
          <w:szCs w:val="21"/>
          <w:u w:val="single"/>
        </w:rPr>
        <w:t>（</w:t>
      </w:r>
      <w:r>
        <w:rPr>
          <w:rFonts w:hint="eastAsia" w:ascii="宋体" w:hAnsi="宋体" w:eastAsia="宋体" w:cs="Times New Roman"/>
          <w:b/>
          <w:bCs/>
          <w:szCs w:val="21"/>
          <w:u w:val="single"/>
        </w:rPr>
        <w:t>招标</w:t>
      </w:r>
      <w:r>
        <w:rPr>
          <w:rFonts w:ascii="宋体" w:hAnsi="宋体" w:eastAsia="宋体" w:cs="Times New Roman"/>
          <w:b/>
          <w:bCs/>
          <w:szCs w:val="21"/>
          <w:u w:val="single"/>
        </w:rPr>
        <w:t xml:space="preserve">文件中明确的所属行业） </w:t>
      </w:r>
      <w:r>
        <w:rPr>
          <w:rFonts w:ascii="宋体" w:hAnsi="宋体" w:eastAsia="宋体" w:cs="Times New Roman"/>
          <w:szCs w:val="21"/>
        </w:rPr>
        <w:t>行业；</w:t>
      </w:r>
      <w:r>
        <w:rPr>
          <w:rFonts w:hint="eastAsia" w:ascii="宋体" w:hAnsi="宋体" w:eastAsia="宋体" w:cs="Times New Roman"/>
          <w:szCs w:val="21"/>
        </w:rPr>
        <w:t>承接企业</w:t>
      </w:r>
      <w:r>
        <w:rPr>
          <w:rFonts w:ascii="宋体" w:hAnsi="宋体" w:eastAsia="宋体" w:cs="Times New Roman"/>
          <w:szCs w:val="21"/>
        </w:rPr>
        <w:t>为</w:t>
      </w:r>
      <w:r>
        <w:rPr>
          <w:rFonts w:ascii="宋体" w:hAnsi="宋体" w:eastAsia="宋体" w:cs="Times New Roman"/>
          <w:b/>
          <w:bCs/>
          <w:szCs w:val="21"/>
          <w:u w:val="single"/>
        </w:rPr>
        <w:t>（企业名称）</w:t>
      </w:r>
      <w:r>
        <w:rPr>
          <w:rFonts w:ascii="宋体" w:hAnsi="宋体" w:eastAsia="宋体" w:cs="Times New Roman"/>
          <w:szCs w:val="21"/>
        </w:rPr>
        <w:t>，从业人员人，营业收入为万元，资产总额为万元 ，属于</w:t>
      </w:r>
      <w:r>
        <w:rPr>
          <w:rFonts w:ascii="宋体" w:hAnsi="宋体" w:eastAsia="宋体" w:cs="Times New Roman"/>
          <w:b/>
          <w:bCs/>
          <w:szCs w:val="21"/>
          <w:u w:val="single"/>
        </w:rPr>
        <w:t>（</w:t>
      </w:r>
      <w:r>
        <w:rPr>
          <w:rFonts w:hint="eastAsia" w:ascii="宋体" w:hAnsi="宋体" w:eastAsia="宋体" w:cs="Times New Roman"/>
          <w:b/>
          <w:bCs/>
          <w:szCs w:val="21"/>
          <w:u w:val="single"/>
        </w:rPr>
        <w:t>小型企业、微型企业、监狱企业、残疾人福利性单位</w:t>
      </w:r>
      <w:r>
        <w:rPr>
          <w:rFonts w:ascii="宋体" w:hAnsi="宋体" w:eastAsia="宋体" w:cs="Times New Roman"/>
          <w:b/>
          <w:bCs/>
          <w:szCs w:val="21"/>
          <w:u w:val="single"/>
        </w:rPr>
        <w:t>）</w:t>
      </w:r>
      <w:r>
        <w:rPr>
          <w:rFonts w:ascii="宋体" w:hAnsi="宋体" w:eastAsia="宋体" w:cs="Times New Roman"/>
          <w:szCs w:val="21"/>
        </w:rPr>
        <w:t xml:space="preserve">； </w:t>
      </w:r>
    </w:p>
    <w:p>
      <w:pPr>
        <w:spacing w:afterLines="25" w:line="300" w:lineRule="auto"/>
        <w:ind w:firstLine="420" w:firstLineChars="200"/>
        <w:rPr>
          <w:rFonts w:ascii="宋体" w:hAnsi="宋体" w:eastAsia="宋体" w:cs="Times New Roman"/>
          <w:szCs w:val="21"/>
          <w:u w:val="single"/>
        </w:rPr>
      </w:pPr>
      <w:r>
        <w:rPr>
          <w:rFonts w:ascii="宋体" w:hAnsi="宋体" w:eastAsia="宋体" w:cs="Times New Roman"/>
          <w:szCs w:val="21"/>
        </w:rPr>
        <w:t>2.</w:t>
      </w:r>
      <w:r>
        <w:rPr>
          <w:rFonts w:ascii="宋体" w:hAnsi="宋体" w:eastAsia="宋体" w:cs="Times New Roman"/>
          <w:b/>
          <w:bCs/>
          <w:szCs w:val="21"/>
          <w:u w:val="single"/>
        </w:rPr>
        <w:t>（标的名称）</w:t>
      </w:r>
      <w:r>
        <w:rPr>
          <w:rFonts w:ascii="宋体" w:hAnsi="宋体" w:eastAsia="宋体" w:cs="Times New Roman"/>
          <w:szCs w:val="21"/>
        </w:rPr>
        <w:t>，属于</w:t>
      </w:r>
      <w:r>
        <w:rPr>
          <w:rFonts w:ascii="宋体" w:hAnsi="宋体" w:eastAsia="宋体" w:cs="Times New Roman"/>
          <w:b/>
          <w:bCs/>
          <w:szCs w:val="21"/>
          <w:u w:val="single"/>
        </w:rPr>
        <w:t>（</w:t>
      </w:r>
      <w:r>
        <w:rPr>
          <w:rFonts w:hint="eastAsia" w:ascii="宋体" w:hAnsi="宋体" w:eastAsia="宋体" w:cs="Times New Roman"/>
          <w:b/>
          <w:bCs/>
          <w:szCs w:val="21"/>
          <w:u w:val="single"/>
        </w:rPr>
        <w:t>招标</w:t>
      </w:r>
      <w:r>
        <w:rPr>
          <w:rFonts w:ascii="宋体" w:hAnsi="宋体" w:eastAsia="宋体" w:cs="Times New Roman"/>
          <w:b/>
          <w:bCs/>
          <w:szCs w:val="21"/>
          <w:u w:val="single"/>
        </w:rPr>
        <w:t xml:space="preserve">文件中明确的所属行业） </w:t>
      </w:r>
      <w:r>
        <w:rPr>
          <w:rFonts w:ascii="宋体" w:hAnsi="宋体" w:eastAsia="宋体" w:cs="Times New Roman"/>
          <w:szCs w:val="21"/>
        </w:rPr>
        <w:t>行业；</w:t>
      </w:r>
      <w:r>
        <w:rPr>
          <w:rFonts w:hint="eastAsia" w:ascii="宋体" w:hAnsi="宋体" w:eastAsia="宋体" w:cs="Times New Roman"/>
          <w:szCs w:val="21"/>
        </w:rPr>
        <w:t>承接企业</w:t>
      </w:r>
      <w:r>
        <w:rPr>
          <w:rFonts w:ascii="宋体" w:hAnsi="宋体" w:eastAsia="宋体" w:cs="Times New Roman"/>
          <w:szCs w:val="21"/>
        </w:rPr>
        <w:t>为</w:t>
      </w:r>
      <w:r>
        <w:rPr>
          <w:rFonts w:ascii="宋体" w:hAnsi="宋体" w:eastAsia="宋体" w:cs="Times New Roman"/>
          <w:b/>
          <w:bCs/>
          <w:szCs w:val="21"/>
          <w:u w:val="single"/>
        </w:rPr>
        <w:t>（企业名称）</w:t>
      </w:r>
      <w:r>
        <w:rPr>
          <w:rFonts w:ascii="宋体" w:hAnsi="宋体" w:eastAsia="宋体" w:cs="Times New Roman"/>
          <w:szCs w:val="21"/>
        </w:rPr>
        <w:t>，从业人员人，营业收入为万元，资产总额为万元 ，属于</w:t>
      </w:r>
      <w:r>
        <w:rPr>
          <w:rFonts w:ascii="宋体" w:hAnsi="宋体" w:eastAsia="宋体" w:cs="Times New Roman"/>
          <w:b/>
          <w:bCs/>
          <w:szCs w:val="21"/>
          <w:u w:val="single"/>
        </w:rPr>
        <w:t>（</w:t>
      </w:r>
      <w:r>
        <w:rPr>
          <w:rFonts w:hint="eastAsia" w:ascii="宋体" w:hAnsi="宋体" w:eastAsia="宋体" w:cs="Times New Roman"/>
          <w:b/>
          <w:bCs/>
          <w:szCs w:val="21"/>
          <w:u w:val="single"/>
        </w:rPr>
        <w:t>小型企业、微型企业、监狱企业、残疾人福利性单位</w:t>
      </w:r>
      <w:r>
        <w:rPr>
          <w:rFonts w:ascii="宋体" w:hAnsi="宋体" w:eastAsia="宋体" w:cs="Times New Roman"/>
          <w:b/>
          <w:bCs/>
          <w:szCs w:val="21"/>
          <w:u w:val="single"/>
        </w:rPr>
        <w:t>）</w:t>
      </w:r>
      <w:r>
        <w:rPr>
          <w:rFonts w:hint="eastAsia" w:ascii="宋体" w:hAnsi="宋体" w:eastAsia="宋体" w:cs="Times New Roman"/>
          <w:szCs w:val="21"/>
        </w:rPr>
        <w:t>；</w:t>
      </w:r>
    </w:p>
    <w:p>
      <w:pPr>
        <w:spacing w:afterLines="25" w:line="300" w:lineRule="auto"/>
        <w:ind w:firstLine="420" w:firstLineChars="200"/>
        <w:rPr>
          <w:rFonts w:ascii="宋体" w:hAnsi="宋体" w:eastAsia="宋体" w:cs="Times New Roman"/>
          <w:szCs w:val="21"/>
        </w:rPr>
      </w:pPr>
      <w:r>
        <w:rPr>
          <w:rFonts w:ascii="宋体" w:hAnsi="宋体" w:eastAsia="宋体" w:cs="Times New Roman"/>
          <w:szCs w:val="21"/>
        </w:rPr>
        <w:t xml:space="preserve">…… </w:t>
      </w:r>
    </w:p>
    <w:p>
      <w:pPr>
        <w:spacing w:afterLines="25" w:line="300" w:lineRule="auto"/>
        <w:ind w:firstLine="420" w:firstLineChars="200"/>
        <w:rPr>
          <w:rFonts w:ascii="宋体" w:hAnsi="宋体" w:eastAsia="宋体" w:cs="Times New Roman"/>
          <w:szCs w:val="21"/>
        </w:rPr>
      </w:pPr>
      <w:r>
        <w:rPr>
          <w:rFonts w:hint="eastAsia" w:ascii="宋体" w:hAnsi="宋体" w:eastAsia="宋体" w:cs="Times New Roman"/>
          <w:szCs w:val="21"/>
        </w:rPr>
        <w:t>上述优惠主体均符合《</w:t>
      </w:r>
      <w:r>
        <w:rPr>
          <w:rFonts w:ascii="宋体" w:hAnsi="宋体" w:eastAsia="宋体" w:cs="Times New Roman"/>
          <w:szCs w:val="21"/>
        </w:rPr>
        <w:t>政府采购促进中小企业发展管理办法</w:t>
      </w:r>
      <w:r>
        <w:rPr>
          <w:rFonts w:hint="eastAsia" w:ascii="宋体" w:hAnsi="宋体" w:eastAsia="宋体" w:cs="Times New Roman"/>
          <w:szCs w:val="21"/>
        </w:rPr>
        <w:t>》（</w:t>
      </w:r>
      <w:r>
        <w:rPr>
          <w:rFonts w:ascii="宋体" w:hAnsi="宋体" w:eastAsia="宋体" w:cs="Times New Roman"/>
          <w:szCs w:val="21"/>
        </w:rPr>
        <w:t>财库〔2020〕46号</w:t>
      </w:r>
      <w:r>
        <w:rPr>
          <w:rFonts w:hint="eastAsia" w:ascii="宋体" w:hAnsi="宋体" w:eastAsia="宋体" w:cs="Times New Roman"/>
          <w:szCs w:val="21"/>
        </w:rPr>
        <w:t>）或《关于政府采购支持监狱企业发展有关问题的通知》（财库〔2014〕68号）或《关于促进残疾人就业政府采购政策的通知》（财库〔2017〕141号）等文件的规定，且优惠主体的协议合同金额占到联合体协议总金额比例为</w:t>
      </w:r>
      <w:r>
        <w:rPr>
          <w:rFonts w:hint="eastAsia" w:ascii="宋体" w:hAnsi="宋体" w:eastAsia="宋体" w:cs="Times New Roman"/>
          <w:szCs w:val="21"/>
          <w:u w:val="single"/>
        </w:rPr>
        <w:t>_____</w:t>
      </w:r>
      <w:r>
        <w:rPr>
          <w:rFonts w:hint="eastAsia" w:ascii="宋体" w:hAnsi="宋体" w:eastAsia="宋体" w:cs="Times New Roman"/>
          <w:szCs w:val="21"/>
        </w:rPr>
        <w:t>%。</w:t>
      </w:r>
    </w:p>
    <w:p>
      <w:pPr>
        <w:spacing w:afterLines="25" w:line="300" w:lineRule="auto"/>
        <w:ind w:firstLine="420" w:firstLineChars="200"/>
        <w:rPr>
          <w:rFonts w:ascii="宋体" w:hAnsi="宋体" w:eastAsia="宋体" w:cs="Times New Roman"/>
          <w:szCs w:val="21"/>
        </w:rPr>
      </w:pPr>
      <w:r>
        <w:rPr>
          <w:rFonts w:hint="eastAsia" w:ascii="宋体" w:hAnsi="宋体" w:eastAsia="宋体" w:cs="Times New Roman"/>
          <w:szCs w:val="21"/>
        </w:rPr>
        <w:t>本联合体对上述声明的真实性负责。如有虚假，将依法承担相应责任。</w:t>
      </w:r>
    </w:p>
    <w:p>
      <w:pPr>
        <w:spacing w:afterLines="25" w:line="300" w:lineRule="auto"/>
        <w:rPr>
          <w:rFonts w:ascii="宋体" w:hAnsi="宋体" w:eastAsia="宋体" w:cs="Times New Roman"/>
          <w:szCs w:val="21"/>
        </w:rPr>
      </w:pPr>
    </w:p>
    <w:p>
      <w:pPr>
        <w:spacing w:afterLines="25" w:line="300" w:lineRule="auto"/>
        <w:rPr>
          <w:rFonts w:ascii="宋体" w:hAnsi="宋体" w:eastAsia="宋体" w:cs="Times New Roman"/>
          <w:szCs w:val="21"/>
        </w:rPr>
      </w:pPr>
      <w:r>
        <w:rPr>
          <w:rFonts w:hint="eastAsia" w:ascii="宋体" w:hAnsi="宋体" w:eastAsia="宋体" w:cs="Times New Roman"/>
          <w:szCs w:val="21"/>
        </w:rPr>
        <w:t xml:space="preserve">供应商名称：                              供应商名称： </w:t>
      </w:r>
    </w:p>
    <w:p>
      <w:pPr>
        <w:spacing w:afterLines="25" w:line="300" w:lineRule="auto"/>
        <w:rPr>
          <w:rFonts w:ascii="宋体" w:hAnsi="宋体" w:eastAsia="宋体" w:cs="Times New Roman"/>
          <w:szCs w:val="21"/>
        </w:rPr>
      </w:pPr>
      <w:r>
        <w:rPr>
          <w:rFonts w:hint="eastAsia" w:ascii="宋体" w:hAnsi="宋体" w:eastAsia="宋体" w:cs="Times New Roman"/>
          <w:szCs w:val="21"/>
        </w:rPr>
        <w:t xml:space="preserve">日期：                                    日期： </w:t>
      </w:r>
    </w:p>
    <w:p>
      <w:pPr>
        <w:spacing w:afterLines="25" w:line="300" w:lineRule="auto"/>
        <w:rPr>
          <w:rFonts w:ascii="Arial" w:hAnsi="Arial" w:eastAsia="宋体" w:cs="Times New Roman"/>
          <w:szCs w:val="24"/>
        </w:rPr>
      </w:pPr>
    </w:p>
    <w:p>
      <w:pPr>
        <w:spacing w:afterLines="25" w:line="300" w:lineRule="auto"/>
        <w:jc w:val="left"/>
        <w:rPr>
          <w:rFonts w:ascii="宋体" w:hAnsi="宋体" w:eastAsia="宋体" w:cs="Times New Roman"/>
          <w:szCs w:val="21"/>
        </w:rPr>
      </w:pPr>
      <w:r>
        <w:rPr>
          <w:rFonts w:hint="eastAsia" w:ascii="宋体" w:hAnsi="宋体" w:eastAsia="宋体" w:cs="Times New Roman"/>
          <w:szCs w:val="21"/>
        </w:rPr>
        <w:t xml:space="preserve">供应商名称：       </w:t>
      </w:r>
    </w:p>
    <w:p>
      <w:pPr>
        <w:wordWrap w:val="0"/>
        <w:spacing w:afterLines="25" w:line="300" w:lineRule="auto"/>
        <w:jc w:val="left"/>
        <w:rPr>
          <w:rFonts w:ascii="宋体" w:hAnsi="宋体" w:eastAsia="宋体" w:cs="Times New Roman"/>
          <w:szCs w:val="21"/>
        </w:rPr>
      </w:pPr>
      <w:r>
        <w:rPr>
          <w:rFonts w:hint="eastAsia" w:ascii="宋体" w:hAnsi="宋体" w:eastAsia="宋体" w:cs="Times New Roman"/>
          <w:szCs w:val="21"/>
        </w:rPr>
        <w:t xml:space="preserve">日期：       </w:t>
      </w:r>
    </w:p>
    <w:p>
      <w:pPr>
        <w:spacing w:afterLines="25" w:line="300" w:lineRule="auto"/>
        <w:rPr>
          <w:rFonts w:ascii="Arial" w:hAnsi="Arial" w:eastAsia="宋体" w:cs="Times New Roman"/>
          <w:szCs w:val="24"/>
        </w:rPr>
      </w:pPr>
    </w:p>
    <w:p>
      <w:pPr>
        <w:spacing w:afterLines="25" w:line="300" w:lineRule="auto"/>
        <w:rPr>
          <w:rFonts w:ascii="Arial" w:hAnsi="Arial" w:eastAsia="宋体" w:cs="Times New Roman"/>
          <w:szCs w:val="24"/>
        </w:rPr>
      </w:pPr>
    </w:p>
    <w:p>
      <w:pPr>
        <w:spacing w:afterLines="25" w:line="300" w:lineRule="auto"/>
        <w:rPr>
          <w:rFonts w:ascii="Arial" w:hAnsi="Arial" w:eastAsia="宋体" w:cs="Times New Roman"/>
          <w:szCs w:val="24"/>
        </w:rPr>
      </w:pPr>
    </w:p>
    <w:p>
      <w:pPr>
        <w:snapToGrid w:val="0"/>
        <w:spacing w:afterLines="25" w:line="300" w:lineRule="auto"/>
        <w:ind w:firstLine="482" w:firstLineChars="200"/>
        <w:rPr>
          <w:rFonts w:ascii="Arial" w:hAnsi="Arial" w:eastAsia="宋体" w:cs="Arial"/>
          <w:sz w:val="24"/>
          <w:szCs w:val="24"/>
          <w:u w:val="single"/>
        </w:rPr>
      </w:pPr>
      <w:r>
        <w:rPr>
          <w:rFonts w:hint="eastAsia" w:ascii="Arial" w:hAnsi="Arial" w:eastAsia="宋体" w:cs="Times New Roman"/>
          <w:b/>
          <w:sz w:val="24"/>
          <w:szCs w:val="24"/>
          <w:highlight w:val="yellow"/>
        </w:rPr>
        <w:t>说明：本声明函仅针对允许联合体投标的项目（联合体数量上限以资格要求为准），非联合体投标的供应商或不符合优惠政策的供应商无需提供。</w:t>
      </w:r>
      <w:r>
        <w:rPr>
          <w:rFonts w:hint="eastAsia" w:ascii="Arial" w:hAnsi="Arial" w:eastAsia="宋体" w:cs="Times New Roman"/>
          <w:sz w:val="24"/>
          <w:szCs w:val="24"/>
          <w:highlight w:val="yellow"/>
        </w:rPr>
        <w:t>符合条件的供应商，请仔细填写声明函中需填写内容，</w:t>
      </w:r>
      <w:r>
        <w:rPr>
          <w:rFonts w:hint="eastAsia" w:ascii="Arial" w:hAnsi="Arial" w:eastAsia="宋体" w:cs="Times New Roman"/>
          <w:b/>
          <w:sz w:val="24"/>
          <w:szCs w:val="24"/>
          <w:highlight w:val="yellow"/>
        </w:rPr>
        <w:t>供应商可根据自身联合体数量及优惠主体类型进行调整本声明函格式</w:t>
      </w:r>
      <w:r>
        <w:rPr>
          <w:rFonts w:hint="eastAsia" w:ascii="Arial" w:hAnsi="Arial" w:eastAsia="宋体" w:cs="Times New Roman"/>
          <w:sz w:val="24"/>
          <w:szCs w:val="24"/>
          <w:highlight w:val="yellow"/>
        </w:rPr>
        <w:t>，</w:t>
      </w:r>
      <w:r>
        <w:rPr>
          <w:rFonts w:hint="eastAsia" w:ascii="Arial" w:hAnsi="Arial" w:eastAsia="宋体" w:cs="Times New Roman"/>
          <w:b/>
          <w:sz w:val="24"/>
          <w:szCs w:val="24"/>
          <w:highlight w:val="yellow"/>
        </w:rPr>
        <w:t>如内容填写不全</w:t>
      </w:r>
      <w:r>
        <w:rPr>
          <w:rFonts w:hint="eastAsia" w:ascii="Arial" w:hAnsi="Arial" w:eastAsia="宋体" w:cs="Times New Roman"/>
          <w:sz w:val="24"/>
          <w:szCs w:val="24"/>
          <w:highlight w:val="yellow"/>
        </w:rPr>
        <w:t>，将承担相关不利后果（如声明函被认定无效等）。</w:t>
      </w:r>
    </w:p>
    <w:p>
      <w:pPr>
        <w:widowControl/>
        <w:jc w:val="left"/>
        <w:rPr>
          <w:rFonts w:cs="Times New Roman" w:asciiTheme="minorEastAsia" w:hAnsiTheme="minorEastAsia"/>
          <w:sz w:val="24"/>
          <w:szCs w:val="24"/>
        </w:rPr>
      </w:pPr>
      <w:r>
        <w:rPr>
          <w:rFonts w:cs="Times New Roman" w:asciiTheme="minorEastAsia" w:hAnsiTheme="minorEastAsia"/>
          <w:sz w:val="24"/>
          <w:szCs w:val="24"/>
        </w:rPr>
        <w:br w:type="page"/>
      </w:r>
    </w:p>
    <w:p>
      <w:pPr>
        <w:keepNext/>
        <w:keepLines/>
        <w:pageBreakBefore/>
        <w:adjustRightInd w:val="0"/>
        <w:snapToGrid w:val="0"/>
        <w:spacing w:line="360" w:lineRule="auto"/>
        <w:jc w:val="center"/>
        <w:textAlignment w:val="baseline"/>
        <w:outlineLvl w:val="3"/>
        <w:rPr>
          <w:rFonts w:ascii="宋体" w:hAnsi="宋体" w:eastAsia="宋体" w:cs="Times New Roman"/>
          <w:b/>
          <w:bCs/>
          <w:kern w:val="0"/>
          <w:sz w:val="24"/>
          <w:szCs w:val="20"/>
        </w:rPr>
      </w:pPr>
      <w:r>
        <w:rPr>
          <w:rFonts w:hint="eastAsia" w:ascii="宋体" w:hAnsi="宋体" w:eastAsia="宋体" w:cs="Times New Roman"/>
          <w:b/>
          <w:bCs/>
          <w:kern w:val="0"/>
          <w:sz w:val="24"/>
          <w:szCs w:val="20"/>
        </w:rPr>
        <w:t>5.经验情况表</w:t>
      </w:r>
    </w:p>
    <w:tbl>
      <w:tblPr>
        <w:tblStyle w:val="16"/>
        <w:tblW w:w="4906" w:type="pct"/>
        <w:jc w:val="center"/>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Layout w:type="autofit"/>
        <w:tblCellMar>
          <w:top w:w="0" w:type="dxa"/>
          <w:left w:w="108" w:type="dxa"/>
          <w:bottom w:w="0" w:type="dxa"/>
          <w:right w:w="108" w:type="dxa"/>
        </w:tblCellMar>
      </w:tblPr>
      <w:tblGrid>
        <w:gridCol w:w="804"/>
        <w:gridCol w:w="1854"/>
        <w:gridCol w:w="2287"/>
        <w:gridCol w:w="1336"/>
        <w:gridCol w:w="1392"/>
        <w:gridCol w:w="1440"/>
      </w:tblGrid>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jc w:val="center"/>
        </w:trPr>
        <w:tc>
          <w:tcPr>
            <w:tcW w:w="441" w:type="pct"/>
            <w:vAlign w:val="center"/>
          </w:tcPr>
          <w:p>
            <w:pPr>
              <w:snapToGrid w:val="0"/>
              <w:jc w:val="center"/>
              <w:rPr>
                <w:rFonts w:ascii="宋体" w:hAnsi="宋体" w:eastAsia="宋体" w:cs="Times New Roman"/>
                <w:b/>
                <w:sz w:val="24"/>
                <w:szCs w:val="24"/>
              </w:rPr>
            </w:pPr>
            <w:r>
              <w:rPr>
                <w:rFonts w:hint="eastAsia" w:ascii="宋体" w:hAnsi="宋体" w:eastAsia="宋体" w:cs="Times New Roman"/>
                <w:b/>
                <w:sz w:val="24"/>
                <w:szCs w:val="24"/>
              </w:rPr>
              <w:t>序号</w:t>
            </w:r>
          </w:p>
        </w:tc>
        <w:tc>
          <w:tcPr>
            <w:tcW w:w="1017" w:type="pct"/>
            <w:vAlign w:val="center"/>
          </w:tcPr>
          <w:p>
            <w:pPr>
              <w:snapToGrid w:val="0"/>
              <w:jc w:val="center"/>
              <w:rPr>
                <w:rFonts w:ascii="宋体" w:hAnsi="宋体" w:eastAsia="宋体" w:cs="Times New Roman"/>
                <w:b/>
                <w:sz w:val="24"/>
                <w:szCs w:val="24"/>
              </w:rPr>
            </w:pPr>
            <w:r>
              <w:rPr>
                <w:rFonts w:hint="eastAsia" w:ascii="宋体" w:hAnsi="宋体" w:eastAsia="宋体" w:cs="Times New Roman"/>
                <w:b/>
                <w:sz w:val="24"/>
                <w:szCs w:val="24"/>
              </w:rPr>
              <w:t>用户单位</w:t>
            </w:r>
          </w:p>
        </w:tc>
        <w:tc>
          <w:tcPr>
            <w:tcW w:w="1255" w:type="pct"/>
            <w:vAlign w:val="center"/>
          </w:tcPr>
          <w:p>
            <w:pPr>
              <w:snapToGrid w:val="0"/>
              <w:jc w:val="center"/>
              <w:rPr>
                <w:rFonts w:ascii="宋体" w:hAnsi="宋体" w:eastAsia="宋体" w:cs="Times New Roman"/>
                <w:b/>
                <w:sz w:val="24"/>
                <w:szCs w:val="24"/>
              </w:rPr>
            </w:pPr>
            <w:r>
              <w:rPr>
                <w:rFonts w:hint="eastAsia" w:ascii="Arial" w:hAnsi="Arial" w:eastAsia="宋体" w:cs="Arial"/>
                <w:b/>
                <w:sz w:val="24"/>
                <w:szCs w:val="24"/>
              </w:rPr>
              <w:t>项目</w:t>
            </w:r>
            <w:r>
              <w:rPr>
                <w:rFonts w:hint="eastAsia" w:ascii="宋体" w:hAnsi="宋体" w:eastAsia="宋体" w:cs="Times New Roman"/>
                <w:b/>
                <w:sz w:val="24"/>
                <w:szCs w:val="24"/>
              </w:rPr>
              <w:t>名称</w:t>
            </w:r>
          </w:p>
        </w:tc>
        <w:tc>
          <w:tcPr>
            <w:tcW w:w="733" w:type="pct"/>
            <w:vAlign w:val="center"/>
          </w:tcPr>
          <w:p>
            <w:pPr>
              <w:snapToGrid w:val="0"/>
              <w:jc w:val="center"/>
              <w:rPr>
                <w:rFonts w:ascii="宋体" w:hAnsi="宋体" w:eastAsia="宋体" w:cs="Times New Roman"/>
                <w:b/>
                <w:sz w:val="24"/>
                <w:szCs w:val="24"/>
              </w:rPr>
            </w:pPr>
            <w:r>
              <w:rPr>
                <w:rFonts w:hint="eastAsia" w:ascii="宋体" w:hAnsi="宋体" w:eastAsia="宋体" w:cs="Times New Roman"/>
                <w:b/>
                <w:sz w:val="24"/>
                <w:szCs w:val="24"/>
              </w:rPr>
              <w:t>时间</w:t>
            </w:r>
          </w:p>
        </w:tc>
        <w:tc>
          <w:tcPr>
            <w:tcW w:w="764" w:type="pct"/>
            <w:vAlign w:val="center"/>
          </w:tcPr>
          <w:p>
            <w:pPr>
              <w:snapToGrid w:val="0"/>
              <w:jc w:val="center"/>
              <w:rPr>
                <w:rFonts w:ascii="宋体" w:hAnsi="宋体" w:eastAsia="宋体" w:cs="Times New Roman"/>
                <w:b/>
                <w:sz w:val="24"/>
                <w:szCs w:val="24"/>
              </w:rPr>
            </w:pPr>
            <w:r>
              <w:rPr>
                <w:rFonts w:hint="eastAsia" w:ascii="宋体" w:hAnsi="宋体" w:eastAsia="宋体" w:cs="Times New Roman"/>
                <w:b/>
                <w:sz w:val="24"/>
                <w:szCs w:val="24"/>
              </w:rPr>
              <w:t>用户单位</w:t>
            </w:r>
          </w:p>
          <w:p>
            <w:pPr>
              <w:snapToGrid w:val="0"/>
              <w:jc w:val="center"/>
              <w:rPr>
                <w:rFonts w:ascii="宋体" w:hAnsi="宋体" w:eastAsia="宋体" w:cs="Times New Roman"/>
                <w:b/>
                <w:sz w:val="24"/>
                <w:szCs w:val="24"/>
              </w:rPr>
            </w:pPr>
            <w:r>
              <w:rPr>
                <w:rFonts w:hint="eastAsia" w:ascii="宋体" w:hAnsi="宋体" w:eastAsia="宋体" w:cs="Times New Roman"/>
                <w:b/>
                <w:sz w:val="24"/>
                <w:szCs w:val="24"/>
              </w:rPr>
              <w:t>联系人</w:t>
            </w:r>
          </w:p>
        </w:tc>
        <w:tc>
          <w:tcPr>
            <w:tcW w:w="790" w:type="pct"/>
            <w:vAlign w:val="center"/>
          </w:tcPr>
          <w:p>
            <w:pPr>
              <w:snapToGrid w:val="0"/>
              <w:jc w:val="center"/>
              <w:rPr>
                <w:rFonts w:ascii="宋体" w:hAnsi="宋体" w:eastAsia="宋体" w:cs="Times New Roman"/>
                <w:b/>
                <w:sz w:val="24"/>
                <w:szCs w:val="24"/>
              </w:rPr>
            </w:pPr>
            <w:r>
              <w:rPr>
                <w:rFonts w:hint="eastAsia" w:ascii="宋体" w:hAnsi="宋体" w:eastAsia="宋体" w:cs="Times New Roman"/>
                <w:b/>
                <w:sz w:val="24"/>
                <w:szCs w:val="24"/>
              </w:rPr>
              <w:t>用户单位</w:t>
            </w:r>
            <w:r>
              <w:rPr>
                <w:rFonts w:ascii="宋体" w:hAnsi="宋体" w:eastAsia="宋体" w:cs="Times New Roman"/>
                <w:b/>
                <w:sz w:val="24"/>
                <w:szCs w:val="24"/>
              </w:rPr>
              <w:br w:type="textWrapping"/>
            </w:r>
            <w:r>
              <w:rPr>
                <w:rFonts w:hint="eastAsia" w:ascii="宋体" w:hAnsi="宋体" w:eastAsia="宋体" w:cs="Times New Roman"/>
                <w:b/>
                <w:sz w:val="24"/>
                <w:szCs w:val="24"/>
              </w:rPr>
              <w:t>联系电话</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cantSplit/>
          <w:trHeight w:val="300" w:hRule="atLeast"/>
          <w:jc w:val="center"/>
        </w:trPr>
        <w:tc>
          <w:tcPr>
            <w:tcW w:w="441" w:type="pct"/>
          </w:tcPr>
          <w:p>
            <w:pPr>
              <w:spacing w:afterLines="25" w:line="300" w:lineRule="auto"/>
              <w:rPr>
                <w:rFonts w:ascii="宋体" w:hAnsi="宋体" w:eastAsia="宋体" w:cs="Arial"/>
                <w:sz w:val="24"/>
                <w:szCs w:val="24"/>
              </w:rPr>
            </w:pPr>
          </w:p>
        </w:tc>
        <w:tc>
          <w:tcPr>
            <w:tcW w:w="1017" w:type="pct"/>
          </w:tcPr>
          <w:p>
            <w:pPr>
              <w:spacing w:afterLines="25" w:line="300" w:lineRule="auto"/>
              <w:rPr>
                <w:rFonts w:ascii="宋体" w:hAnsi="宋体" w:eastAsia="宋体" w:cs="Arial"/>
                <w:sz w:val="24"/>
                <w:szCs w:val="24"/>
              </w:rPr>
            </w:pPr>
          </w:p>
        </w:tc>
        <w:tc>
          <w:tcPr>
            <w:tcW w:w="1255" w:type="pct"/>
          </w:tcPr>
          <w:p>
            <w:pPr>
              <w:spacing w:afterLines="25" w:line="300" w:lineRule="auto"/>
              <w:rPr>
                <w:rFonts w:ascii="宋体" w:hAnsi="宋体" w:eastAsia="宋体" w:cs="Arial"/>
                <w:sz w:val="24"/>
                <w:szCs w:val="24"/>
              </w:rPr>
            </w:pPr>
          </w:p>
        </w:tc>
        <w:tc>
          <w:tcPr>
            <w:tcW w:w="733" w:type="pct"/>
          </w:tcPr>
          <w:p>
            <w:pPr>
              <w:spacing w:afterLines="25" w:line="300" w:lineRule="auto"/>
              <w:rPr>
                <w:rFonts w:ascii="宋体" w:hAnsi="宋体" w:eastAsia="宋体" w:cs="Arial"/>
                <w:sz w:val="24"/>
                <w:szCs w:val="24"/>
              </w:rPr>
            </w:pPr>
          </w:p>
        </w:tc>
        <w:tc>
          <w:tcPr>
            <w:tcW w:w="764" w:type="pct"/>
          </w:tcPr>
          <w:p>
            <w:pPr>
              <w:spacing w:afterLines="25" w:line="300" w:lineRule="auto"/>
              <w:rPr>
                <w:rFonts w:ascii="宋体" w:hAnsi="宋体" w:eastAsia="宋体" w:cs="Arial"/>
                <w:sz w:val="24"/>
                <w:szCs w:val="24"/>
              </w:rPr>
            </w:pPr>
          </w:p>
        </w:tc>
        <w:tc>
          <w:tcPr>
            <w:tcW w:w="790" w:type="pct"/>
          </w:tcPr>
          <w:p>
            <w:pPr>
              <w:spacing w:afterLines="25" w:line="300" w:lineRule="auto"/>
              <w:rPr>
                <w:rFonts w:ascii="宋体" w:hAnsi="宋体" w:eastAsia="宋体" w:cs="Arial"/>
                <w:sz w:val="24"/>
                <w:szCs w:val="24"/>
              </w:rPr>
            </w:pP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cantSplit/>
          <w:trHeight w:val="300" w:hRule="atLeast"/>
          <w:jc w:val="center"/>
        </w:trPr>
        <w:tc>
          <w:tcPr>
            <w:tcW w:w="441" w:type="pct"/>
          </w:tcPr>
          <w:p>
            <w:pPr>
              <w:spacing w:afterLines="25" w:line="300" w:lineRule="auto"/>
              <w:rPr>
                <w:rFonts w:ascii="宋体" w:hAnsi="宋体" w:eastAsia="宋体" w:cs="Arial"/>
                <w:sz w:val="24"/>
                <w:szCs w:val="24"/>
              </w:rPr>
            </w:pPr>
          </w:p>
        </w:tc>
        <w:tc>
          <w:tcPr>
            <w:tcW w:w="1017" w:type="pct"/>
          </w:tcPr>
          <w:p>
            <w:pPr>
              <w:spacing w:afterLines="25" w:line="300" w:lineRule="auto"/>
              <w:rPr>
                <w:rFonts w:ascii="宋体" w:hAnsi="宋体" w:eastAsia="宋体" w:cs="Arial"/>
                <w:sz w:val="24"/>
                <w:szCs w:val="24"/>
              </w:rPr>
            </w:pPr>
          </w:p>
        </w:tc>
        <w:tc>
          <w:tcPr>
            <w:tcW w:w="1255" w:type="pct"/>
          </w:tcPr>
          <w:p>
            <w:pPr>
              <w:spacing w:afterLines="25" w:line="300" w:lineRule="auto"/>
              <w:rPr>
                <w:rFonts w:ascii="宋体" w:hAnsi="宋体" w:eastAsia="宋体" w:cs="Arial"/>
                <w:sz w:val="24"/>
                <w:szCs w:val="24"/>
              </w:rPr>
            </w:pPr>
          </w:p>
        </w:tc>
        <w:tc>
          <w:tcPr>
            <w:tcW w:w="733" w:type="pct"/>
          </w:tcPr>
          <w:p>
            <w:pPr>
              <w:spacing w:afterLines="25" w:line="300" w:lineRule="auto"/>
              <w:rPr>
                <w:rFonts w:ascii="宋体" w:hAnsi="宋体" w:eastAsia="宋体" w:cs="Arial"/>
                <w:sz w:val="24"/>
                <w:szCs w:val="24"/>
              </w:rPr>
            </w:pPr>
          </w:p>
        </w:tc>
        <w:tc>
          <w:tcPr>
            <w:tcW w:w="764" w:type="pct"/>
          </w:tcPr>
          <w:p>
            <w:pPr>
              <w:spacing w:afterLines="25" w:line="300" w:lineRule="auto"/>
              <w:rPr>
                <w:rFonts w:ascii="宋体" w:hAnsi="宋体" w:eastAsia="宋体" w:cs="Arial"/>
                <w:sz w:val="24"/>
                <w:szCs w:val="24"/>
              </w:rPr>
            </w:pPr>
          </w:p>
        </w:tc>
        <w:tc>
          <w:tcPr>
            <w:tcW w:w="790" w:type="pct"/>
          </w:tcPr>
          <w:p>
            <w:pPr>
              <w:spacing w:afterLines="25" w:line="300" w:lineRule="auto"/>
              <w:rPr>
                <w:rFonts w:ascii="宋体" w:hAnsi="宋体" w:eastAsia="宋体" w:cs="Arial"/>
                <w:sz w:val="24"/>
                <w:szCs w:val="24"/>
              </w:rPr>
            </w:pP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cantSplit/>
          <w:trHeight w:val="300" w:hRule="atLeast"/>
          <w:jc w:val="center"/>
        </w:trPr>
        <w:tc>
          <w:tcPr>
            <w:tcW w:w="441" w:type="pct"/>
          </w:tcPr>
          <w:p>
            <w:pPr>
              <w:spacing w:afterLines="25" w:line="300" w:lineRule="auto"/>
              <w:rPr>
                <w:rFonts w:ascii="宋体" w:hAnsi="宋体" w:eastAsia="宋体" w:cs="Arial"/>
                <w:sz w:val="24"/>
                <w:szCs w:val="24"/>
              </w:rPr>
            </w:pPr>
          </w:p>
        </w:tc>
        <w:tc>
          <w:tcPr>
            <w:tcW w:w="1017" w:type="pct"/>
          </w:tcPr>
          <w:p>
            <w:pPr>
              <w:spacing w:afterLines="25" w:line="300" w:lineRule="auto"/>
              <w:rPr>
                <w:rFonts w:ascii="宋体" w:hAnsi="宋体" w:eastAsia="宋体" w:cs="Arial"/>
                <w:sz w:val="24"/>
                <w:szCs w:val="24"/>
              </w:rPr>
            </w:pPr>
          </w:p>
        </w:tc>
        <w:tc>
          <w:tcPr>
            <w:tcW w:w="1255" w:type="pct"/>
          </w:tcPr>
          <w:p>
            <w:pPr>
              <w:spacing w:afterLines="25" w:line="300" w:lineRule="auto"/>
              <w:rPr>
                <w:rFonts w:ascii="宋体" w:hAnsi="宋体" w:eastAsia="宋体" w:cs="Arial"/>
                <w:sz w:val="24"/>
                <w:szCs w:val="24"/>
              </w:rPr>
            </w:pPr>
          </w:p>
        </w:tc>
        <w:tc>
          <w:tcPr>
            <w:tcW w:w="733" w:type="pct"/>
          </w:tcPr>
          <w:p>
            <w:pPr>
              <w:spacing w:afterLines="25" w:line="300" w:lineRule="auto"/>
              <w:rPr>
                <w:rFonts w:ascii="宋体" w:hAnsi="宋体" w:eastAsia="宋体" w:cs="Arial"/>
                <w:sz w:val="24"/>
                <w:szCs w:val="24"/>
              </w:rPr>
            </w:pPr>
          </w:p>
        </w:tc>
        <w:tc>
          <w:tcPr>
            <w:tcW w:w="764" w:type="pct"/>
          </w:tcPr>
          <w:p>
            <w:pPr>
              <w:spacing w:afterLines="25" w:line="300" w:lineRule="auto"/>
              <w:rPr>
                <w:rFonts w:ascii="宋体" w:hAnsi="宋体" w:eastAsia="宋体" w:cs="Arial"/>
                <w:sz w:val="24"/>
                <w:szCs w:val="24"/>
              </w:rPr>
            </w:pPr>
          </w:p>
        </w:tc>
        <w:tc>
          <w:tcPr>
            <w:tcW w:w="790" w:type="pct"/>
          </w:tcPr>
          <w:p>
            <w:pPr>
              <w:spacing w:afterLines="25" w:line="300" w:lineRule="auto"/>
              <w:rPr>
                <w:rFonts w:ascii="宋体" w:hAnsi="宋体" w:eastAsia="宋体" w:cs="Arial"/>
                <w:sz w:val="24"/>
                <w:szCs w:val="24"/>
              </w:rPr>
            </w:pPr>
          </w:p>
        </w:tc>
      </w:tr>
    </w:tbl>
    <w:p>
      <w:pPr>
        <w:spacing w:line="300" w:lineRule="auto"/>
        <w:rPr>
          <w:rFonts w:ascii="Arial" w:hAnsi="Arial" w:eastAsia="宋体" w:cs="Times New Roman"/>
          <w:szCs w:val="24"/>
        </w:rPr>
      </w:pPr>
      <w:r>
        <w:rPr>
          <w:rFonts w:hint="eastAsia" w:ascii="Arial" w:hAnsi="Arial" w:eastAsia="宋体" w:cs="Times New Roman"/>
          <w:sz w:val="24"/>
          <w:szCs w:val="24"/>
        </w:rPr>
        <w:t>此表格式可根据评分准则要求进行调整，并将要求提供的证明材料扫描件附后。</w:t>
      </w:r>
    </w:p>
    <w:p>
      <w:pPr>
        <w:spacing w:afterLines="25" w:line="300" w:lineRule="auto"/>
        <w:rPr>
          <w:rFonts w:ascii="Arial" w:hAnsi="Arial" w:eastAsia="宋体" w:cs="Times New Roman"/>
          <w:sz w:val="24"/>
          <w:szCs w:val="24"/>
        </w:rPr>
      </w:pPr>
    </w:p>
    <w:p>
      <w:pPr>
        <w:spacing w:afterLines="25" w:line="300" w:lineRule="auto"/>
        <w:rPr>
          <w:rFonts w:ascii="Arial" w:hAnsi="Arial" w:eastAsia="宋体" w:cs="Times New Roman"/>
          <w:sz w:val="24"/>
          <w:szCs w:val="24"/>
        </w:rPr>
      </w:pPr>
    </w:p>
    <w:p>
      <w:pPr>
        <w:spacing w:afterLines="25" w:line="300" w:lineRule="auto"/>
        <w:rPr>
          <w:rFonts w:ascii="Arial" w:hAnsi="Arial" w:eastAsia="宋体" w:cs="Times New Roman"/>
          <w:sz w:val="24"/>
          <w:szCs w:val="24"/>
        </w:rPr>
      </w:pPr>
    </w:p>
    <w:p>
      <w:pPr>
        <w:spacing w:afterLines="25" w:line="300" w:lineRule="auto"/>
        <w:rPr>
          <w:rFonts w:ascii="Arial" w:hAnsi="Arial" w:eastAsia="宋体" w:cs="Times New Roman"/>
          <w:sz w:val="24"/>
          <w:szCs w:val="24"/>
        </w:rPr>
      </w:pPr>
    </w:p>
    <w:p>
      <w:pPr>
        <w:spacing w:afterLines="25" w:line="300" w:lineRule="auto"/>
        <w:rPr>
          <w:rFonts w:ascii="Arial" w:hAnsi="Arial" w:eastAsia="宋体" w:cs="Times New Roman"/>
          <w:sz w:val="24"/>
          <w:szCs w:val="24"/>
        </w:rPr>
      </w:pPr>
    </w:p>
    <w:p>
      <w:pPr>
        <w:spacing w:afterLines="25" w:line="300" w:lineRule="auto"/>
        <w:rPr>
          <w:rFonts w:ascii="Arial" w:hAnsi="Arial" w:eastAsia="宋体" w:cs="Times New Roman"/>
          <w:sz w:val="24"/>
          <w:szCs w:val="24"/>
        </w:rPr>
      </w:pPr>
    </w:p>
    <w:p>
      <w:pPr>
        <w:spacing w:afterLines="25" w:line="300" w:lineRule="auto"/>
        <w:rPr>
          <w:rFonts w:ascii="Arial" w:hAnsi="Arial" w:eastAsia="宋体" w:cs="Times New Roman"/>
          <w:sz w:val="24"/>
          <w:szCs w:val="24"/>
        </w:rPr>
      </w:pPr>
    </w:p>
    <w:p>
      <w:pPr>
        <w:spacing w:afterLines="25" w:line="300" w:lineRule="auto"/>
        <w:rPr>
          <w:rFonts w:ascii="Arial" w:hAnsi="Arial" w:eastAsia="宋体" w:cs="Times New Roman"/>
          <w:sz w:val="24"/>
          <w:szCs w:val="24"/>
        </w:rPr>
      </w:pPr>
    </w:p>
    <w:p>
      <w:pPr>
        <w:spacing w:afterLines="25" w:line="300" w:lineRule="auto"/>
        <w:rPr>
          <w:rFonts w:ascii="Arial" w:hAnsi="Arial" w:eastAsia="宋体" w:cs="Times New Roman"/>
          <w:sz w:val="24"/>
          <w:szCs w:val="24"/>
        </w:rPr>
      </w:pPr>
    </w:p>
    <w:p>
      <w:pPr>
        <w:spacing w:afterLines="25" w:line="300" w:lineRule="auto"/>
        <w:rPr>
          <w:rFonts w:ascii="Arial" w:hAnsi="Arial" w:eastAsia="宋体" w:cs="Times New Roman"/>
          <w:sz w:val="24"/>
          <w:szCs w:val="24"/>
        </w:rPr>
      </w:pPr>
    </w:p>
    <w:p>
      <w:pPr>
        <w:spacing w:afterLines="25" w:line="300" w:lineRule="auto"/>
        <w:rPr>
          <w:rFonts w:ascii="Arial" w:hAnsi="Arial" w:eastAsia="宋体" w:cs="Times New Roman"/>
          <w:sz w:val="24"/>
          <w:szCs w:val="24"/>
        </w:rPr>
      </w:pPr>
    </w:p>
    <w:p>
      <w:pPr>
        <w:spacing w:afterLines="25" w:line="300" w:lineRule="auto"/>
        <w:rPr>
          <w:rFonts w:ascii="Arial" w:hAnsi="Arial" w:eastAsia="宋体" w:cs="Times New Roman"/>
          <w:sz w:val="24"/>
          <w:szCs w:val="24"/>
        </w:rPr>
      </w:pPr>
    </w:p>
    <w:p>
      <w:pPr>
        <w:spacing w:afterLines="25" w:line="300" w:lineRule="auto"/>
        <w:rPr>
          <w:rFonts w:ascii="Arial" w:hAnsi="Arial" w:eastAsia="宋体" w:cs="Times New Roman"/>
          <w:sz w:val="24"/>
          <w:szCs w:val="24"/>
        </w:rPr>
      </w:pPr>
    </w:p>
    <w:p>
      <w:pPr>
        <w:pStyle w:val="9"/>
        <w:rPr>
          <w:rFonts w:ascii="Arial" w:hAnsi="Arial" w:eastAsia="宋体" w:cs="Times New Roman"/>
          <w:szCs w:val="24"/>
        </w:rPr>
      </w:pPr>
    </w:p>
    <w:p>
      <w:pPr>
        <w:pStyle w:val="10"/>
      </w:pPr>
    </w:p>
    <w:p>
      <w:pPr>
        <w:spacing w:afterLines="25" w:line="300" w:lineRule="auto"/>
        <w:rPr>
          <w:rFonts w:ascii="Arial" w:hAnsi="Arial" w:eastAsia="宋体" w:cs="Times New Roman"/>
          <w:sz w:val="24"/>
          <w:szCs w:val="24"/>
        </w:rPr>
      </w:pPr>
    </w:p>
    <w:p>
      <w:pPr>
        <w:spacing w:afterLines="25" w:line="300" w:lineRule="auto"/>
        <w:jc w:val="center"/>
        <w:rPr>
          <w:rFonts w:ascii="Arial" w:hAnsi="Arial" w:eastAsia="宋体" w:cs="Times New Roman"/>
          <w:b/>
          <w:sz w:val="24"/>
          <w:szCs w:val="24"/>
        </w:rPr>
      </w:pPr>
      <w:r>
        <w:rPr>
          <w:rFonts w:hint="eastAsia" w:ascii="Arial" w:hAnsi="Arial" w:eastAsia="宋体" w:cs="Times New Roman"/>
          <w:b/>
          <w:sz w:val="24"/>
          <w:szCs w:val="24"/>
        </w:rPr>
        <w:t>（本章未提供的招标要求的其他文件格式由供应商自拟）</w:t>
      </w:r>
    </w:p>
    <w:p>
      <w:pPr>
        <w:spacing w:afterLines="25" w:line="300" w:lineRule="auto"/>
        <w:jc w:val="center"/>
        <w:rPr>
          <w:rFonts w:ascii="Arial" w:hAnsi="Arial" w:eastAsia="宋体" w:cs="Times New Roman"/>
          <w:b/>
          <w:sz w:val="24"/>
          <w:szCs w:val="24"/>
        </w:rPr>
      </w:pPr>
    </w:p>
    <w:p>
      <w:pPr>
        <w:ind w:firstLine="723" w:firstLineChars="300"/>
        <w:jc w:val="center"/>
        <w:rPr>
          <w:b/>
          <w:color w:val="FF0000"/>
          <w:sz w:val="24"/>
        </w:rPr>
      </w:pPr>
      <w:r>
        <w:rPr>
          <w:rFonts w:hint="eastAsia"/>
          <w:b/>
          <w:color w:val="FF0000"/>
          <w:sz w:val="24"/>
        </w:rPr>
        <w:t>（信息公开部分的内容到此为止！以下为信息不公开部分。）</w:t>
      </w:r>
    </w:p>
    <w:p>
      <w:pPr>
        <w:pStyle w:val="9"/>
        <w:rPr>
          <w:rFonts w:ascii="Arial" w:hAnsi="Arial" w:eastAsia="宋体" w:cs="Times New Roman"/>
          <w:szCs w:val="24"/>
        </w:rPr>
      </w:pPr>
    </w:p>
    <w:p>
      <w:pPr>
        <w:pStyle w:val="10"/>
        <w:rPr>
          <w:rFonts w:ascii="Arial" w:hAnsi="Arial" w:eastAsia="宋体" w:cs="Times New Roman"/>
          <w:b/>
          <w:szCs w:val="24"/>
        </w:rPr>
      </w:pPr>
    </w:p>
    <w:p>
      <w:pPr>
        <w:pStyle w:val="10"/>
        <w:rPr>
          <w:rFonts w:ascii="Arial" w:hAnsi="Arial" w:eastAsia="宋体" w:cs="Times New Roman"/>
          <w:b/>
          <w:szCs w:val="24"/>
        </w:rPr>
      </w:pPr>
    </w:p>
    <w:p>
      <w:pPr>
        <w:pStyle w:val="10"/>
        <w:rPr>
          <w:rFonts w:ascii="Arial" w:hAnsi="Arial" w:eastAsia="宋体" w:cs="Times New Roman"/>
          <w:b/>
          <w:szCs w:val="24"/>
        </w:rPr>
      </w:pPr>
    </w:p>
    <w:p>
      <w:pPr>
        <w:spacing w:afterLines="25" w:line="300" w:lineRule="auto"/>
        <w:outlineLvl w:val="2"/>
        <w:rPr>
          <w:rFonts w:ascii="Arial" w:hAnsi="Arial" w:eastAsia="宋体" w:cs="Times New Roman"/>
          <w:b/>
          <w:color w:val="FF0000"/>
          <w:sz w:val="32"/>
          <w:szCs w:val="32"/>
        </w:rPr>
      </w:pPr>
      <w:r>
        <w:rPr>
          <w:rFonts w:hint="eastAsia" w:ascii="Arial" w:hAnsi="Arial" w:eastAsia="宋体" w:cs="Times New Roman"/>
          <w:b/>
          <w:color w:val="FF0000"/>
          <w:sz w:val="32"/>
          <w:szCs w:val="32"/>
        </w:rPr>
        <w:t>（二）投标文件附件（信息不公开部分）</w:t>
      </w:r>
    </w:p>
    <w:p>
      <w:pPr>
        <w:keepNext/>
        <w:keepLines/>
        <w:adjustRightInd w:val="0"/>
        <w:snapToGrid w:val="0"/>
        <w:spacing w:line="360" w:lineRule="auto"/>
        <w:jc w:val="center"/>
        <w:textAlignment w:val="baseline"/>
        <w:outlineLvl w:val="3"/>
        <w:rPr>
          <w:rFonts w:ascii="宋体" w:hAnsi="宋体" w:eastAsia="宋体" w:cs="Times New Roman"/>
          <w:b/>
          <w:bCs/>
          <w:kern w:val="0"/>
          <w:sz w:val="24"/>
          <w:szCs w:val="20"/>
        </w:rPr>
      </w:pPr>
      <w:r>
        <w:rPr>
          <w:rFonts w:hint="eastAsia" w:ascii="宋体" w:hAnsi="宋体" w:eastAsia="宋体" w:cs="Times New Roman"/>
          <w:b/>
          <w:bCs/>
          <w:kern w:val="0"/>
          <w:sz w:val="24"/>
          <w:szCs w:val="20"/>
        </w:rPr>
        <w:t>1.法定代表人（负责人）证明书</w:t>
      </w:r>
    </w:p>
    <w:p>
      <w:pPr>
        <w:spacing w:afterLines="25" w:line="300" w:lineRule="auto"/>
        <w:rPr>
          <w:rFonts w:ascii="Arial" w:hAnsi="Arial" w:eastAsia="宋体" w:cs="Times New Roman"/>
          <w:szCs w:val="24"/>
        </w:rPr>
      </w:pPr>
    </w:p>
    <w:p>
      <w:pPr>
        <w:spacing w:line="300" w:lineRule="auto"/>
        <w:ind w:left="140"/>
        <w:jc w:val="center"/>
        <w:rPr>
          <w:rFonts w:ascii="Arial" w:hAnsi="Arial" w:eastAsia="宋体" w:cs="Arial"/>
          <w:b/>
          <w:sz w:val="30"/>
          <w:szCs w:val="30"/>
        </w:rPr>
      </w:pPr>
    </w:p>
    <w:p>
      <w:pPr>
        <w:spacing w:line="300" w:lineRule="auto"/>
        <w:ind w:left="140"/>
        <w:jc w:val="center"/>
        <w:rPr>
          <w:rFonts w:ascii="Arial" w:hAnsi="Arial" w:eastAsia="宋体" w:cs="Arial"/>
          <w:b/>
          <w:sz w:val="24"/>
          <w:szCs w:val="24"/>
        </w:rPr>
      </w:pPr>
      <w:r>
        <w:rPr>
          <w:rFonts w:hint="eastAsia" w:ascii="Arial" w:hAnsi="Arial" w:eastAsia="宋体" w:cs="Arial"/>
          <w:b/>
          <w:sz w:val="24"/>
          <w:szCs w:val="24"/>
        </w:rPr>
        <w:t>法定代表人（负责人）证明书</w:t>
      </w:r>
    </w:p>
    <w:p>
      <w:pPr>
        <w:spacing w:line="300" w:lineRule="auto"/>
        <w:ind w:left="140"/>
        <w:jc w:val="center"/>
        <w:rPr>
          <w:rFonts w:ascii="Arial" w:hAnsi="Arial" w:eastAsia="宋体" w:cs="Arial"/>
          <w:b/>
          <w:sz w:val="24"/>
          <w:szCs w:val="24"/>
        </w:rPr>
      </w:pPr>
    </w:p>
    <w:p>
      <w:pPr>
        <w:spacing w:line="300" w:lineRule="auto"/>
        <w:ind w:left="140"/>
        <w:rPr>
          <w:rFonts w:asciiTheme="minorEastAsia" w:hAnsiTheme="minorEastAsia"/>
          <w:szCs w:val="21"/>
        </w:rPr>
      </w:pPr>
      <w:r>
        <w:rPr>
          <w:rFonts w:hint="eastAsia" w:cs="Arial" w:asciiTheme="minorEastAsia" w:hAnsiTheme="minorEastAsia"/>
          <w:sz w:val="24"/>
          <w:szCs w:val="24"/>
          <w:u w:val="single"/>
        </w:rPr>
        <w:t xml:space="preserve">  （姓名）  </w:t>
      </w:r>
      <w:r>
        <w:rPr>
          <w:rFonts w:hint="eastAsia" w:asciiTheme="minorEastAsia" w:hAnsiTheme="minorEastAsia"/>
          <w:szCs w:val="21"/>
        </w:rPr>
        <w:t>同志，现任我单位职务，为我单位法定代表人（负责人）。</w:t>
      </w:r>
    </w:p>
    <w:p>
      <w:pPr>
        <w:spacing w:line="300" w:lineRule="auto"/>
        <w:ind w:left="140"/>
        <w:rPr>
          <w:rFonts w:asciiTheme="minorEastAsia" w:hAnsiTheme="minorEastAsia"/>
          <w:szCs w:val="21"/>
          <w:u w:val="single"/>
        </w:rPr>
      </w:pPr>
      <w:r>
        <w:rPr>
          <w:rFonts w:hint="eastAsia" w:asciiTheme="minorEastAsia" w:hAnsiTheme="minorEastAsia"/>
          <w:szCs w:val="21"/>
        </w:rPr>
        <w:t xml:space="preserve">身份证号： </w:t>
      </w:r>
    </w:p>
    <w:p>
      <w:pPr>
        <w:spacing w:line="300" w:lineRule="auto"/>
        <w:ind w:left="140"/>
        <w:rPr>
          <w:rFonts w:asciiTheme="minorEastAsia" w:hAnsiTheme="minorEastAsia"/>
          <w:szCs w:val="21"/>
          <w:u w:val="single"/>
        </w:rPr>
      </w:pPr>
      <w:r>
        <w:rPr>
          <w:rFonts w:hint="eastAsia" w:asciiTheme="minorEastAsia" w:hAnsiTheme="minorEastAsia"/>
          <w:szCs w:val="21"/>
        </w:rPr>
        <w:t xml:space="preserve">联系电话：  </w:t>
      </w:r>
    </w:p>
    <w:p>
      <w:pPr>
        <w:spacing w:line="300" w:lineRule="auto"/>
        <w:ind w:left="140"/>
        <w:rPr>
          <w:rFonts w:cs="Arial" w:asciiTheme="minorEastAsia" w:hAnsiTheme="minorEastAsia"/>
          <w:b/>
          <w:sz w:val="24"/>
          <w:szCs w:val="24"/>
        </w:rPr>
      </w:pPr>
      <w:r>
        <w:rPr>
          <w:rFonts w:hint="eastAsia" w:asciiTheme="minorEastAsia" w:hAnsiTheme="minorEastAsia"/>
          <w:szCs w:val="21"/>
        </w:rPr>
        <w:t>特此证明。</w:t>
      </w:r>
    </w:p>
    <w:p>
      <w:pPr>
        <w:spacing w:line="300" w:lineRule="auto"/>
        <w:rPr>
          <w:rFonts w:ascii="Arial" w:hAnsi="Arial" w:eastAsia="宋体" w:cs="Times New Roman"/>
          <w:szCs w:val="21"/>
        </w:rPr>
      </w:pPr>
    </w:p>
    <w:p>
      <w:pPr>
        <w:spacing w:line="300" w:lineRule="auto"/>
        <w:rPr>
          <w:rFonts w:ascii="Arial" w:hAnsi="Arial" w:eastAsia="宋体" w:cs="Times New Roman"/>
          <w:szCs w:val="21"/>
        </w:rPr>
      </w:pPr>
      <w:r>
        <w:rPr>
          <w:rFonts w:hint="eastAsia" w:ascii="Arial" w:hAnsi="Arial" w:eastAsia="宋体" w:cs="Times New Roman"/>
          <w:szCs w:val="21"/>
        </w:rPr>
        <w:t>投标人（投标单位）：</w:t>
      </w:r>
    </w:p>
    <w:p>
      <w:pPr>
        <w:spacing w:line="300" w:lineRule="auto"/>
        <w:rPr>
          <w:rFonts w:ascii="Arial" w:hAnsi="Arial" w:eastAsia="宋体" w:cs="Times New Roman"/>
          <w:szCs w:val="21"/>
        </w:rPr>
      </w:pPr>
      <w:r>
        <w:rPr>
          <w:rFonts w:hint="eastAsia" w:ascii="Arial" w:hAnsi="Arial" w:eastAsia="宋体" w:cs="Times New Roman"/>
          <w:szCs w:val="21"/>
        </w:rPr>
        <w:t>日期：年月日</w:t>
      </w:r>
    </w:p>
    <w:p>
      <w:pPr>
        <w:spacing w:line="500" w:lineRule="exact"/>
        <w:rPr>
          <w:rFonts w:ascii="Arial" w:hAnsi="Arial" w:eastAsia="宋体" w:cs="Times New Roman"/>
          <w:szCs w:val="24"/>
        </w:rPr>
      </w:pPr>
    </w:p>
    <w:p>
      <w:pPr>
        <w:spacing w:line="500" w:lineRule="exact"/>
        <w:rPr>
          <w:rFonts w:ascii="宋体" w:hAnsi="宋体" w:eastAsia="宋体" w:cs="Times New Roman"/>
          <w:b/>
          <w:color w:val="FF0000"/>
          <w:sz w:val="32"/>
          <w:szCs w:val="32"/>
        </w:rPr>
      </w:pPr>
      <w:r>
        <w:rPr>
          <w:rFonts w:hint="eastAsia" w:ascii="宋体" w:hAnsi="宋体" w:eastAsia="宋体" w:cs="Times New Roman"/>
          <w:b/>
          <w:color w:val="FF0000"/>
          <w:sz w:val="32"/>
          <w:szCs w:val="32"/>
        </w:rPr>
        <w:t>★必须提供法定代表人（负责人）有效期内身份证的正反面扫描件（港澳台居民可提供往来通行证），非中国国籍管辖范围的，可提供公安部门认可的身份证明材料，否则将导致投标无效。</w:t>
      </w:r>
    </w:p>
    <w:p>
      <w:pPr>
        <w:spacing w:line="500" w:lineRule="exact"/>
        <w:rPr>
          <w:rFonts w:ascii="宋体" w:hAnsi="宋体" w:eastAsia="宋体" w:cs="Times New Roman"/>
          <w:b/>
          <w:color w:val="FF0000"/>
          <w:sz w:val="32"/>
          <w:szCs w:val="32"/>
        </w:rPr>
      </w:pPr>
    </w:p>
    <w:p>
      <w:pPr>
        <w:snapToGrid w:val="0"/>
        <w:rPr>
          <w:rFonts w:ascii="宋体" w:hAnsi="宋体" w:eastAsia="宋体" w:cs="Times New Roman"/>
          <w:color w:val="FF0000"/>
          <w:sz w:val="28"/>
          <w:szCs w:val="28"/>
        </w:rPr>
      </w:pPr>
      <w:r>
        <w:rPr>
          <w:rFonts w:hint="eastAsia" w:ascii="宋体" w:hAnsi="宋体" w:eastAsia="宋体" w:cs="Times New Roman"/>
          <w:color w:val="FF0000"/>
          <w:sz w:val="28"/>
          <w:szCs w:val="28"/>
        </w:rPr>
        <w:t>备注：</w:t>
      </w:r>
    </w:p>
    <w:p>
      <w:pPr>
        <w:snapToGrid w:val="0"/>
        <w:rPr>
          <w:rFonts w:ascii="Arial" w:hAnsi="Arial" w:eastAsia="宋体" w:cs="Times New Roman"/>
          <w:sz w:val="28"/>
          <w:szCs w:val="28"/>
        </w:rPr>
      </w:pPr>
      <w:r>
        <w:rPr>
          <w:rFonts w:hint="eastAsia" w:ascii="宋体" w:hAnsi="宋体" w:eastAsia="宋体" w:cs="Times New Roman"/>
          <w:color w:val="FF0000"/>
          <w:sz w:val="28"/>
          <w:szCs w:val="28"/>
        </w:rPr>
        <w:t>1、如发现上述人员非投标人法定代表人（负责人），视同提供虚假资料，按投标无效处理，并将依法承担相应法律责任。</w:t>
      </w:r>
    </w:p>
    <w:p>
      <w:pPr>
        <w:snapToGrid w:val="0"/>
        <w:rPr>
          <w:rFonts w:ascii="宋体" w:hAnsi="宋体" w:eastAsia="宋体" w:cs="Times New Roman"/>
          <w:color w:val="FF0000"/>
          <w:sz w:val="28"/>
          <w:szCs w:val="28"/>
        </w:rPr>
      </w:pPr>
      <w:r>
        <w:rPr>
          <w:rFonts w:hint="eastAsia" w:ascii="宋体" w:hAnsi="宋体" w:eastAsia="宋体" w:cs="Times New Roman"/>
          <w:color w:val="FF0000"/>
          <w:sz w:val="28"/>
          <w:szCs w:val="28"/>
        </w:rPr>
        <w:t>2、法定代表人为投标人（企业事业单位、国家机关、社会团体）的主要行政负责人。</w:t>
      </w:r>
    </w:p>
    <w:p>
      <w:pPr>
        <w:snapToGrid w:val="0"/>
        <w:rPr>
          <w:rFonts w:ascii="宋体" w:hAnsi="宋体" w:eastAsia="宋体" w:cs="Times New Roman"/>
          <w:color w:val="FF0000"/>
          <w:sz w:val="28"/>
          <w:szCs w:val="28"/>
        </w:rPr>
      </w:pPr>
      <w:r>
        <w:rPr>
          <w:rFonts w:hint="eastAsia" w:ascii="宋体" w:hAnsi="宋体" w:eastAsia="宋体" w:cs="Times New Roman"/>
          <w:color w:val="FF0000"/>
          <w:sz w:val="28"/>
          <w:szCs w:val="28"/>
        </w:rPr>
        <w:t>3、本证明书要求投标供应商同时提供法定代表人（负责人）的身份证扫描件（正反两面）作为附件方为有效。</w:t>
      </w:r>
    </w:p>
    <w:p>
      <w:pPr>
        <w:snapToGrid w:val="0"/>
        <w:rPr>
          <w:rFonts w:ascii="宋体" w:hAnsi="宋体" w:eastAsia="宋体" w:cs="Times New Roman"/>
          <w:color w:val="FF0000"/>
          <w:sz w:val="28"/>
          <w:szCs w:val="28"/>
        </w:rPr>
      </w:pPr>
      <w:r>
        <w:rPr>
          <w:rFonts w:hint="eastAsia" w:ascii="宋体" w:hAnsi="宋体" w:eastAsia="宋体" w:cs="Times New Roman"/>
          <w:color w:val="FF0000"/>
          <w:sz w:val="28"/>
          <w:szCs w:val="28"/>
        </w:rPr>
        <w:t>4、本项目投标授权代表为法定代表人（负责人）的，无需提供《投标文件签署授权委托书》。</w:t>
      </w:r>
    </w:p>
    <w:p>
      <w:pPr>
        <w:snapToGrid w:val="0"/>
        <w:rPr>
          <w:rFonts w:ascii="宋体" w:hAnsi="宋体" w:eastAsia="宋体" w:cs="Times New Roman"/>
          <w:color w:val="FF0000"/>
          <w:sz w:val="28"/>
          <w:szCs w:val="28"/>
        </w:rPr>
      </w:pPr>
      <w:r>
        <w:rPr>
          <w:rFonts w:hint="eastAsia" w:ascii="宋体" w:hAnsi="宋体" w:eastAsia="宋体" w:cs="Times New Roman"/>
          <w:color w:val="FF0000"/>
          <w:sz w:val="28"/>
          <w:szCs w:val="28"/>
        </w:rPr>
        <w:t>5、内容必须填写真实、清楚，涂改无效，不得转让、买卖。</w:t>
      </w:r>
    </w:p>
    <w:p>
      <w:pPr>
        <w:spacing w:line="500" w:lineRule="exact"/>
        <w:ind w:firstLine="420" w:firstLineChars="200"/>
        <w:rPr>
          <w:rFonts w:ascii="Arial" w:hAnsi="Arial" w:eastAsia="宋体" w:cs="Times New Roman"/>
          <w:szCs w:val="24"/>
        </w:rPr>
      </w:pPr>
    </w:p>
    <w:p>
      <w:pPr>
        <w:keepNext/>
        <w:keepLines/>
        <w:pageBreakBefore/>
        <w:adjustRightInd w:val="0"/>
        <w:snapToGrid w:val="0"/>
        <w:spacing w:line="360" w:lineRule="auto"/>
        <w:jc w:val="center"/>
        <w:textAlignment w:val="baseline"/>
        <w:outlineLvl w:val="3"/>
        <w:rPr>
          <w:rFonts w:ascii="宋体" w:hAnsi="宋体" w:eastAsia="宋体" w:cs="Times New Roman"/>
          <w:b/>
          <w:bCs/>
          <w:kern w:val="0"/>
          <w:sz w:val="24"/>
          <w:szCs w:val="20"/>
        </w:rPr>
      </w:pPr>
      <w:r>
        <w:rPr>
          <w:rFonts w:hint="eastAsia" w:ascii="宋体" w:hAnsi="宋体" w:eastAsia="宋体" w:cs="Times New Roman"/>
          <w:b/>
          <w:bCs/>
          <w:kern w:val="0"/>
          <w:sz w:val="24"/>
          <w:szCs w:val="20"/>
        </w:rPr>
        <w:t>2.投标文件签署授权委托书</w:t>
      </w:r>
    </w:p>
    <w:p>
      <w:pPr>
        <w:spacing w:line="300" w:lineRule="auto"/>
        <w:jc w:val="center"/>
        <w:rPr>
          <w:rFonts w:ascii="Arial" w:hAnsi="Arial" w:eastAsia="宋体" w:cs="Times New Roman"/>
          <w:b/>
          <w:sz w:val="28"/>
          <w:szCs w:val="28"/>
        </w:rPr>
      </w:pPr>
    </w:p>
    <w:p>
      <w:pPr>
        <w:spacing w:line="360" w:lineRule="auto"/>
        <w:ind w:firstLine="420" w:firstLineChars="200"/>
        <w:rPr>
          <w:rFonts w:ascii="Arial" w:hAnsi="Arial" w:eastAsia="宋体" w:cs="Times New Roman"/>
          <w:szCs w:val="21"/>
        </w:rPr>
      </w:pPr>
      <w:r>
        <w:rPr>
          <w:rFonts w:hint="eastAsia" w:ascii="Arial" w:hAnsi="Arial" w:eastAsia="宋体" w:cs="Times New Roman"/>
          <w:szCs w:val="21"/>
        </w:rPr>
        <w:t>本授权委托书声明：我</w:t>
      </w:r>
      <w:r>
        <w:rPr>
          <w:rFonts w:hint="eastAsia" w:ascii="Arial" w:hAnsi="Arial" w:eastAsia="宋体" w:cs="Times New Roman"/>
          <w:szCs w:val="21"/>
          <w:u w:val="single"/>
        </w:rPr>
        <w:t>（姓名）</w:t>
      </w:r>
      <w:r>
        <w:rPr>
          <w:rFonts w:hint="eastAsia" w:ascii="Arial" w:hAnsi="Arial" w:eastAsia="宋体" w:cs="Times New Roman"/>
          <w:szCs w:val="21"/>
        </w:rPr>
        <w:t>系</w:t>
      </w:r>
      <w:r>
        <w:rPr>
          <w:rFonts w:hint="eastAsia" w:ascii="Arial" w:hAnsi="Arial" w:eastAsia="宋体" w:cs="Times New Roman"/>
          <w:szCs w:val="21"/>
          <w:u w:val="single"/>
        </w:rPr>
        <w:t>（投标人名称）</w:t>
      </w:r>
      <w:r>
        <w:rPr>
          <w:rFonts w:hint="eastAsia" w:ascii="Arial" w:hAnsi="Arial" w:eastAsia="宋体" w:cs="Times New Roman"/>
          <w:szCs w:val="21"/>
        </w:rPr>
        <w:t>的法定代表人（负责人），现授权委托</w:t>
      </w:r>
      <w:r>
        <w:rPr>
          <w:rFonts w:hint="eastAsia" w:ascii="Arial" w:hAnsi="Arial" w:eastAsia="宋体" w:cs="Times New Roman"/>
          <w:szCs w:val="21"/>
          <w:u w:val="single"/>
        </w:rPr>
        <w:t>（姓名）</w:t>
      </w:r>
      <w:r>
        <w:rPr>
          <w:rFonts w:hint="eastAsia" w:ascii="Arial" w:hAnsi="Arial" w:eastAsia="宋体" w:cs="Times New Roman"/>
          <w:szCs w:val="21"/>
        </w:rPr>
        <w:t>为我单位签署本项目已递交的投标文件的法定代表人（负责人）的授权委托代理人，代表我单位签署本项目的投标文件、参与项目投标、澄清投标文件、签署合同和处理与该项目有关的一切事务。在此过程中代理人所签署的一切文件及处理与该项目有关的一切事务，我均予以承认。</w:t>
      </w:r>
    </w:p>
    <w:p>
      <w:pPr>
        <w:spacing w:line="360" w:lineRule="auto"/>
        <w:ind w:firstLine="420" w:firstLineChars="200"/>
        <w:rPr>
          <w:rFonts w:ascii="Arial" w:hAnsi="Arial" w:eastAsia="宋体" w:cs="Times New Roman"/>
          <w:szCs w:val="21"/>
        </w:rPr>
      </w:pPr>
      <w:r>
        <w:rPr>
          <w:rFonts w:hint="eastAsia" w:ascii="Arial" w:hAnsi="Arial" w:eastAsia="宋体" w:cs="Times New Roman"/>
          <w:szCs w:val="21"/>
        </w:rPr>
        <w:t>授权书有效期内被授权人签署的所有文件不因授权的撤销而失效。被授权人无转委托权。</w:t>
      </w:r>
    </w:p>
    <w:p>
      <w:pPr>
        <w:spacing w:line="300" w:lineRule="auto"/>
        <w:rPr>
          <w:rFonts w:ascii="Arial" w:hAnsi="Arial" w:eastAsia="宋体" w:cs="Times New Roman"/>
          <w:szCs w:val="21"/>
        </w:rPr>
      </w:pPr>
    </w:p>
    <w:p>
      <w:pPr>
        <w:spacing w:line="360" w:lineRule="auto"/>
        <w:ind w:left="3360" w:leftChars="1600"/>
        <w:rPr>
          <w:rFonts w:ascii="Arial" w:hAnsi="Arial" w:eastAsia="宋体" w:cs="Times New Roman"/>
          <w:szCs w:val="21"/>
          <w:u w:val="single"/>
        </w:rPr>
      </w:pPr>
      <w:r>
        <w:rPr>
          <w:rFonts w:hint="eastAsia" w:ascii="Arial" w:hAnsi="Arial" w:eastAsia="宋体" w:cs="Times New Roman"/>
          <w:szCs w:val="21"/>
        </w:rPr>
        <w:t>代理人：性别：</w:t>
      </w:r>
    </w:p>
    <w:p>
      <w:pPr>
        <w:spacing w:line="360" w:lineRule="auto"/>
        <w:ind w:left="3360" w:leftChars="1600"/>
        <w:rPr>
          <w:rFonts w:ascii="Arial" w:hAnsi="Arial" w:eastAsia="宋体" w:cs="Times New Roman"/>
          <w:szCs w:val="21"/>
        </w:rPr>
      </w:pPr>
      <w:r>
        <w:rPr>
          <w:rFonts w:hint="eastAsia" w:ascii="Arial" w:hAnsi="Arial" w:eastAsia="宋体" w:cs="Times New Roman"/>
          <w:szCs w:val="21"/>
        </w:rPr>
        <w:t>联系电话：手机：</w:t>
      </w:r>
    </w:p>
    <w:p>
      <w:pPr>
        <w:spacing w:line="360" w:lineRule="auto"/>
        <w:ind w:left="3360" w:leftChars="1600"/>
        <w:rPr>
          <w:rFonts w:ascii="Arial" w:hAnsi="Arial" w:eastAsia="宋体" w:cs="Times New Roman"/>
          <w:szCs w:val="21"/>
          <w:u w:val="single"/>
        </w:rPr>
      </w:pPr>
      <w:r>
        <w:rPr>
          <w:rFonts w:hint="eastAsia" w:ascii="Arial" w:hAnsi="Arial" w:eastAsia="宋体" w:cs="Times New Roman"/>
          <w:szCs w:val="21"/>
        </w:rPr>
        <w:t>身份证号码：职务：</w:t>
      </w:r>
    </w:p>
    <w:p>
      <w:pPr>
        <w:spacing w:line="360" w:lineRule="auto"/>
        <w:ind w:left="3360" w:leftChars="1600"/>
        <w:rPr>
          <w:rFonts w:ascii="Arial" w:hAnsi="Arial" w:eastAsia="宋体" w:cs="Times New Roman"/>
          <w:szCs w:val="21"/>
        </w:rPr>
      </w:pPr>
      <w:r>
        <w:rPr>
          <w:rFonts w:hint="eastAsia" w:ascii="Arial" w:hAnsi="Arial" w:eastAsia="宋体" w:cs="Times New Roman"/>
          <w:szCs w:val="21"/>
        </w:rPr>
        <w:t>投标人（投标单位）：</w:t>
      </w:r>
    </w:p>
    <w:p>
      <w:pPr>
        <w:spacing w:line="360" w:lineRule="auto"/>
        <w:ind w:left="3360" w:leftChars="1600"/>
        <w:rPr>
          <w:rFonts w:ascii="Arial" w:hAnsi="Arial" w:eastAsia="宋体" w:cs="Times New Roman"/>
          <w:szCs w:val="21"/>
        </w:rPr>
      </w:pPr>
      <w:r>
        <w:rPr>
          <w:rFonts w:hint="eastAsia" w:ascii="Arial" w:hAnsi="Arial" w:eastAsia="宋体" w:cs="Times New Roman"/>
          <w:szCs w:val="21"/>
        </w:rPr>
        <w:t>授权委托日期：年月日</w:t>
      </w:r>
    </w:p>
    <w:p>
      <w:pPr>
        <w:spacing w:line="500" w:lineRule="exact"/>
        <w:ind w:firstLine="420" w:firstLineChars="200"/>
        <w:rPr>
          <w:rFonts w:ascii="Arial" w:hAnsi="Arial" w:eastAsia="宋体" w:cs="Times New Roman"/>
          <w:szCs w:val="24"/>
        </w:rPr>
      </w:pPr>
    </w:p>
    <w:p>
      <w:pPr>
        <w:spacing w:afterLines="25" w:line="300" w:lineRule="auto"/>
        <w:rPr>
          <w:rFonts w:ascii="宋体" w:hAnsi="宋体" w:eastAsia="宋体" w:cs="Times New Roman"/>
          <w:b/>
          <w:color w:val="FF0000"/>
          <w:sz w:val="32"/>
          <w:szCs w:val="32"/>
        </w:rPr>
      </w:pPr>
      <w:r>
        <w:rPr>
          <w:rFonts w:hint="eastAsia" w:ascii="宋体" w:hAnsi="宋体" w:eastAsia="宋体" w:cs="Times New Roman"/>
          <w:b/>
          <w:color w:val="FF0000"/>
          <w:sz w:val="32"/>
          <w:szCs w:val="32"/>
        </w:rPr>
        <w:t>★必须提供代理人有效期内身份证的正反面扫描件（港澳台居民可提供往来通行证），非中国国籍管辖范围的，可提供公安部门认可的身份证明材料，否则将导致投标无效。</w:t>
      </w:r>
    </w:p>
    <w:p>
      <w:pPr>
        <w:spacing w:afterLines="25" w:line="300" w:lineRule="auto"/>
        <w:rPr>
          <w:rFonts w:ascii="宋体" w:hAnsi="宋体" w:eastAsia="宋体" w:cs="Times New Roman"/>
          <w:b/>
          <w:color w:val="FF0000"/>
          <w:sz w:val="32"/>
          <w:szCs w:val="32"/>
        </w:rPr>
      </w:pPr>
    </w:p>
    <w:p>
      <w:pPr>
        <w:tabs>
          <w:tab w:val="left" w:pos="651"/>
        </w:tabs>
        <w:snapToGrid w:val="0"/>
        <w:rPr>
          <w:rFonts w:ascii="宋体" w:hAnsi="宋体" w:eastAsia="宋体" w:cs="Times New Roman"/>
          <w:color w:val="FF0000"/>
          <w:sz w:val="28"/>
          <w:szCs w:val="28"/>
        </w:rPr>
      </w:pPr>
      <w:r>
        <w:rPr>
          <w:rFonts w:hint="eastAsia" w:ascii="宋体" w:hAnsi="宋体" w:eastAsia="宋体" w:cs="Times New Roman"/>
          <w:color w:val="FF0000"/>
          <w:sz w:val="28"/>
          <w:szCs w:val="28"/>
        </w:rPr>
        <w:t>备注：</w:t>
      </w:r>
    </w:p>
    <w:p>
      <w:pPr>
        <w:tabs>
          <w:tab w:val="left" w:pos="651"/>
        </w:tabs>
        <w:snapToGrid w:val="0"/>
        <w:rPr>
          <w:rFonts w:ascii="宋体" w:hAnsi="宋体" w:eastAsia="宋体" w:cs="Times New Roman"/>
          <w:color w:val="FF0000"/>
          <w:sz w:val="32"/>
          <w:szCs w:val="32"/>
        </w:rPr>
      </w:pPr>
      <w:r>
        <w:rPr>
          <w:rFonts w:hint="eastAsia" w:ascii="宋体" w:hAnsi="宋体" w:eastAsia="宋体" w:cs="Times New Roman"/>
          <w:color w:val="FF0000"/>
          <w:sz w:val="28"/>
          <w:szCs w:val="28"/>
        </w:rPr>
        <w:t>1、本项目投标授权代表为法定代表人（负责人）的，无需提供《投标文件签署授权委托书》。</w:t>
      </w:r>
    </w:p>
    <w:p>
      <w:pPr>
        <w:tabs>
          <w:tab w:val="left" w:pos="651"/>
        </w:tabs>
        <w:snapToGrid w:val="0"/>
        <w:rPr>
          <w:rFonts w:ascii="宋体" w:hAnsi="宋体" w:eastAsia="宋体" w:cs="Times New Roman"/>
          <w:color w:val="FF0000"/>
          <w:sz w:val="28"/>
          <w:szCs w:val="28"/>
        </w:rPr>
      </w:pPr>
      <w:r>
        <w:rPr>
          <w:rFonts w:hint="eastAsia" w:ascii="宋体" w:hAnsi="宋体" w:eastAsia="宋体" w:cs="Times New Roman"/>
          <w:color w:val="FF0000"/>
          <w:sz w:val="32"/>
          <w:szCs w:val="32"/>
        </w:rPr>
        <w:t>2、</w:t>
      </w:r>
      <w:r>
        <w:rPr>
          <w:rFonts w:hint="eastAsia" w:ascii="宋体" w:hAnsi="宋体" w:eastAsia="宋体" w:cs="Times New Roman"/>
          <w:color w:val="FF0000"/>
          <w:sz w:val="28"/>
          <w:szCs w:val="28"/>
        </w:rPr>
        <w:t>投标授权代表须为投标供应商在职人员（在职期限应包括开标当日），且仅代表本投标供应商进行投标。投标文件中无需提供证明材料，采购人和招标机构保留对投标授权代表社保情况、劳动合同等进行调查核实的权利。如发现投标授权代表非投标人在职人员，视同提供虚假资料，按投标无效处理，并将依法承担相应法律责任。</w:t>
      </w:r>
      <w:r>
        <w:rPr>
          <w:rFonts w:ascii="宋体" w:hAnsi="宋体" w:eastAsia="宋体" w:cs="Times New Roman"/>
          <w:color w:val="FF0000"/>
          <w:sz w:val="28"/>
          <w:szCs w:val="28"/>
        </w:rPr>
        <w:br w:type="page"/>
      </w:r>
    </w:p>
    <w:p>
      <w:pPr>
        <w:keepNext/>
        <w:keepLines/>
        <w:pageBreakBefore/>
        <w:adjustRightInd w:val="0"/>
        <w:snapToGrid w:val="0"/>
        <w:spacing w:line="360" w:lineRule="auto"/>
        <w:jc w:val="center"/>
        <w:textAlignment w:val="baseline"/>
        <w:outlineLvl w:val="3"/>
        <w:rPr>
          <w:rFonts w:ascii="宋体" w:hAnsi="宋体" w:eastAsia="宋体" w:cs="Times New Roman"/>
          <w:b/>
          <w:bCs/>
          <w:kern w:val="0"/>
          <w:sz w:val="24"/>
          <w:szCs w:val="20"/>
        </w:rPr>
      </w:pPr>
      <w:r>
        <w:rPr>
          <w:rFonts w:hint="eastAsia" w:ascii="宋体" w:hAnsi="宋体" w:eastAsia="宋体" w:cs="Times New Roman"/>
          <w:b/>
          <w:bCs/>
          <w:kern w:val="0"/>
          <w:sz w:val="24"/>
          <w:szCs w:val="20"/>
        </w:rPr>
        <w:t>3</w:t>
      </w:r>
      <w:r>
        <w:rPr>
          <w:rFonts w:ascii="宋体" w:hAnsi="宋体" w:eastAsia="宋体" w:cs="Times New Roman"/>
          <w:b/>
          <w:bCs/>
          <w:kern w:val="0"/>
          <w:sz w:val="24"/>
          <w:szCs w:val="20"/>
        </w:rPr>
        <w:t>.</w:t>
      </w:r>
      <w:r>
        <w:rPr>
          <w:rFonts w:hint="eastAsia" w:ascii="宋体" w:hAnsi="宋体" w:eastAsia="宋体" w:cs="Times New Roman"/>
          <w:b/>
          <w:bCs/>
          <w:kern w:val="0"/>
          <w:sz w:val="24"/>
          <w:szCs w:val="20"/>
        </w:rPr>
        <w:t>实质性条款响应情况表</w:t>
      </w:r>
    </w:p>
    <w:p>
      <w:pPr>
        <w:snapToGrid w:val="0"/>
        <w:rPr>
          <w:rFonts w:ascii="Arial" w:hAnsi="Arial" w:eastAsia="宋体" w:cs="Arial"/>
          <w:sz w:val="24"/>
          <w:szCs w:val="24"/>
        </w:rPr>
      </w:pPr>
      <w:r>
        <w:rPr>
          <w:rFonts w:hint="eastAsia" w:ascii="Arial" w:hAnsi="Arial" w:eastAsia="宋体" w:cs="Arial"/>
          <w:color w:val="000000"/>
          <w:sz w:val="24"/>
          <w:szCs w:val="24"/>
        </w:rPr>
        <w:t>投标单位（投标人）名称：</w:t>
      </w:r>
    </w:p>
    <w:p>
      <w:pPr>
        <w:snapToGrid w:val="0"/>
        <w:rPr>
          <w:rFonts w:cs="Times New Roman" w:asciiTheme="minorEastAsia" w:hAnsiTheme="minorEastAsia"/>
          <w:b/>
          <w:sz w:val="24"/>
          <w:szCs w:val="24"/>
        </w:rPr>
      </w:pPr>
    </w:p>
    <w:tbl>
      <w:tblPr>
        <w:tblStyle w:val="16"/>
        <w:tblW w:w="9403" w:type="dxa"/>
        <w:jc w:val="center"/>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Layout w:type="fixed"/>
        <w:tblCellMar>
          <w:top w:w="0" w:type="dxa"/>
          <w:left w:w="108" w:type="dxa"/>
          <w:bottom w:w="0" w:type="dxa"/>
          <w:right w:w="108" w:type="dxa"/>
        </w:tblCellMar>
      </w:tblPr>
      <w:tblGrid>
        <w:gridCol w:w="602"/>
        <w:gridCol w:w="3901"/>
        <w:gridCol w:w="2176"/>
        <w:gridCol w:w="1732"/>
        <w:gridCol w:w="992"/>
      </w:tblGrid>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529" w:hRule="atLeast"/>
          <w:jc w:val="center"/>
        </w:trPr>
        <w:tc>
          <w:tcPr>
            <w:tcW w:w="602" w:type="dxa"/>
            <w:vAlign w:val="center"/>
          </w:tcPr>
          <w:p>
            <w:pPr>
              <w:jc w:val="center"/>
              <w:rPr>
                <w:rFonts w:ascii="宋体" w:hAnsi="宋体" w:eastAsia="宋体" w:cs="Arial"/>
                <w:b/>
                <w:szCs w:val="21"/>
              </w:rPr>
            </w:pPr>
            <w:r>
              <w:rPr>
                <w:rFonts w:hint="eastAsia" w:ascii="宋体" w:hAnsi="宋体" w:eastAsia="宋体" w:cs="Arial"/>
                <w:b/>
                <w:szCs w:val="21"/>
              </w:rPr>
              <w:t>序号</w:t>
            </w:r>
          </w:p>
        </w:tc>
        <w:tc>
          <w:tcPr>
            <w:tcW w:w="3901" w:type="dxa"/>
            <w:vAlign w:val="center"/>
          </w:tcPr>
          <w:p>
            <w:pPr>
              <w:jc w:val="center"/>
              <w:rPr>
                <w:rFonts w:ascii="宋体" w:hAnsi="宋体" w:eastAsia="宋体" w:cs="Arial"/>
                <w:b/>
                <w:szCs w:val="21"/>
              </w:rPr>
            </w:pPr>
            <w:r>
              <w:rPr>
                <w:rFonts w:hint="eastAsia" w:ascii="宋体" w:hAnsi="宋体" w:eastAsia="宋体" w:cs="Arial"/>
                <w:b/>
                <w:szCs w:val="21"/>
              </w:rPr>
              <w:t>实质性条款具体内容</w:t>
            </w:r>
          </w:p>
        </w:tc>
        <w:tc>
          <w:tcPr>
            <w:tcW w:w="2176" w:type="dxa"/>
            <w:vAlign w:val="center"/>
          </w:tcPr>
          <w:p>
            <w:pPr>
              <w:jc w:val="center"/>
              <w:rPr>
                <w:rFonts w:ascii="宋体" w:hAnsi="宋体" w:eastAsia="宋体" w:cs="Arial"/>
                <w:b/>
                <w:szCs w:val="21"/>
              </w:rPr>
            </w:pPr>
            <w:r>
              <w:rPr>
                <w:rFonts w:hint="eastAsia" w:ascii="宋体" w:hAnsi="宋体" w:eastAsia="宋体" w:cs="Arial"/>
                <w:b/>
                <w:szCs w:val="21"/>
              </w:rPr>
              <w:t>投标文件响应</w:t>
            </w:r>
          </w:p>
        </w:tc>
        <w:tc>
          <w:tcPr>
            <w:tcW w:w="1732" w:type="dxa"/>
          </w:tcPr>
          <w:p>
            <w:pPr>
              <w:spacing w:beforeLines="50"/>
              <w:jc w:val="center"/>
              <w:rPr>
                <w:rFonts w:ascii="宋体" w:hAnsi="宋体" w:eastAsia="宋体" w:cs="Arial"/>
                <w:b/>
                <w:szCs w:val="21"/>
              </w:rPr>
            </w:pPr>
            <w:r>
              <w:rPr>
                <w:rFonts w:hint="eastAsia" w:ascii="宋体" w:hAnsi="宋体" w:eastAsia="宋体" w:cs="Arial"/>
                <w:b/>
                <w:szCs w:val="21"/>
              </w:rPr>
              <w:t>偏离情况</w:t>
            </w:r>
          </w:p>
        </w:tc>
        <w:tc>
          <w:tcPr>
            <w:tcW w:w="992" w:type="dxa"/>
            <w:vAlign w:val="center"/>
          </w:tcPr>
          <w:p>
            <w:pPr>
              <w:jc w:val="center"/>
              <w:rPr>
                <w:rFonts w:ascii="宋体" w:hAnsi="宋体" w:eastAsia="宋体" w:cs="Arial"/>
                <w:b/>
                <w:szCs w:val="21"/>
              </w:rPr>
            </w:pPr>
            <w:r>
              <w:rPr>
                <w:rFonts w:hint="eastAsia" w:ascii="宋体" w:hAnsi="宋体" w:eastAsia="宋体" w:cs="Arial"/>
                <w:b/>
                <w:szCs w:val="21"/>
              </w:rPr>
              <w:t>说明</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1060" w:hRule="atLeast"/>
          <w:jc w:val="center"/>
        </w:trPr>
        <w:tc>
          <w:tcPr>
            <w:tcW w:w="602" w:type="dxa"/>
            <w:vAlign w:val="center"/>
          </w:tcPr>
          <w:p>
            <w:pPr>
              <w:spacing w:line="300" w:lineRule="auto"/>
              <w:jc w:val="center"/>
              <w:rPr>
                <w:rFonts w:ascii="宋体" w:hAnsi="宋体" w:eastAsia="宋体" w:cs="Times New Roman"/>
                <w:b/>
                <w:color w:val="FF0000"/>
                <w:kern w:val="0"/>
                <w:szCs w:val="21"/>
              </w:rPr>
            </w:pPr>
            <w:r>
              <w:rPr>
                <w:rFonts w:hint="eastAsia" w:ascii="宋体" w:hAnsi="宋体" w:eastAsia="宋体" w:cs="Times New Roman"/>
                <w:b/>
                <w:color w:val="FF0000"/>
                <w:kern w:val="0"/>
                <w:szCs w:val="21"/>
              </w:rPr>
              <w:t>1</w:t>
            </w:r>
          </w:p>
        </w:tc>
        <w:tc>
          <w:tcPr>
            <w:tcW w:w="3901" w:type="dxa"/>
            <w:vAlign w:val="center"/>
          </w:tcPr>
          <w:p>
            <w:pPr>
              <w:spacing w:line="300" w:lineRule="auto"/>
              <w:jc w:val="center"/>
              <w:rPr>
                <w:rFonts w:ascii="宋体" w:hAnsi="宋体" w:eastAsia="宋体" w:cs="Times New Roman"/>
                <w:b/>
                <w:color w:val="FF0000"/>
                <w:kern w:val="0"/>
                <w:szCs w:val="21"/>
              </w:rPr>
            </w:pPr>
            <w:r>
              <w:rPr>
                <w:rFonts w:hint="eastAsia" w:ascii="宋体" w:hAnsi="宋体" w:eastAsia="宋体" w:cs="Times New Roman"/>
                <w:b/>
                <w:color w:val="FF0000"/>
                <w:kern w:val="0"/>
                <w:szCs w:val="21"/>
              </w:rPr>
              <w:t>本项目招标文件中所有带★号条款内容</w:t>
            </w:r>
          </w:p>
        </w:tc>
        <w:tc>
          <w:tcPr>
            <w:tcW w:w="2176" w:type="dxa"/>
            <w:vAlign w:val="center"/>
          </w:tcPr>
          <w:p>
            <w:pPr>
              <w:spacing w:line="300" w:lineRule="auto"/>
              <w:jc w:val="center"/>
              <w:rPr>
                <w:rFonts w:ascii="宋体" w:hAnsi="宋体" w:eastAsia="宋体" w:cs="Times New Roman"/>
                <w:b/>
                <w:kern w:val="0"/>
                <w:szCs w:val="21"/>
              </w:rPr>
            </w:pPr>
            <w:r>
              <w:rPr>
                <w:rFonts w:hint="eastAsia" w:ascii="宋体" w:hAnsi="宋体" w:eastAsia="宋体" w:cs="Times New Roman"/>
                <w:b/>
                <w:kern w:val="0"/>
                <w:szCs w:val="21"/>
              </w:rPr>
              <w:t>完全响应</w:t>
            </w:r>
          </w:p>
        </w:tc>
        <w:tc>
          <w:tcPr>
            <w:tcW w:w="1732" w:type="dxa"/>
            <w:vAlign w:val="center"/>
          </w:tcPr>
          <w:p>
            <w:pPr>
              <w:spacing w:line="300" w:lineRule="auto"/>
              <w:jc w:val="center"/>
              <w:rPr>
                <w:rFonts w:ascii="宋体" w:hAnsi="宋体" w:eastAsia="宋体" w:cs="Times New Roman"/>
                <w:b/>
                <w:kern w:val="0"/>
                <w:szCs w:val="21"/>
              </w:rPr>
            </w:pPr>
            <w:r>
              <w:rPr>
                <w:rFonts w:hint="eastAsia" w:ascii="宋体" w:hAnsi="宋体" w:eastAsia="宋体" w:cs="Times New Roman"/>
                <w:b/>
                <w:kern w:val="0"/>
                <w:szCs w:val="21"/>
              </w:rPr>
              <w:t>无偏离</w:t>
            </w:r>
          </w:p>
        </w:tc>
        <w:tc>
          <w:tcPr>
            <w:tcW w:w="992" w:type="dxa"/>
            <w:vAlign w:val="center"/>
          </w:tcPr>
          <w:p>
            <w:pPr>
              <w:spacing w:line="300" w:lineRule="auto"/>
              <w:jc w:val="center"/>
              <w:rPr>
                <w:rFonts w:ascii="宋体" w:hAnsi="宋体" w:eastAsia="宋体" w:cs="Times New Roman"/>
                <w:b/>
                <w:color w:val="FF0000"/>
                <w:kern w:val="0"/>
                <w:szCs w:val="21"/>
              </w:rPr>
            </w:pPr>
          </w:p>
        </w:tc>
      </w:tr>
    </w:tbl>
    <w:p>
      <w:pPr>
        <w:snapToGrid w:val="0"/>
        <w:rPr>
          <w:rFonts w:cs="Times New Roman" w:asciiTheme="minorEastAsia" w:hAnsiTheme="minorEastAsia"/>
          <w:sz w:val="24"/>
          <w:szCs w:val="24"/>
        </w:rPr>
      </w:pPr>
    </w:p>
    <w:p>
      <w:pPr>
        <w:snapToGrid w:val="0"/>
        <w:rPr>
          <w:rFonts w:cs="Times New Roman" w:asciiTheme="minorEastAsia" w:hAnsiTheme="minorEastAsia"/>
          <w:b/>
          <w:sz w:val="24"/>
          <w:szCs w:val="24"/>
        </w:rPr>
      </w:pPr>
      <w:r>
        <w:rPr>
          <w:rFonts w:hint="eastAsia" w:ascii="宋体" w:hAnsi="宋体" w:eastAsia="宋体" w:cs="Times New Roman"/>
          <w:b/>
          <w:sz w:val="24"/>
          <w:szCs w:val="24"/>
        </w:rPr>
        <w:t>填写说明：</w:t>
      </w:r>
    </w:p>
    <w:p>
      <w:pPr>
        <w:spacing w:line="276" w:lineRule="auto"/>
        <w:ind w:firstLine="480" w:firstLineChars="200"/>
        <w:rPr>
          <w:rFonts w:ascii="宋体" w:hAnsi="宋体" w:cs="宋体"/>
          <w:bCs/>
          <w:sz w:val="24"/>
          <w:szCs w:val="24"/>
        </w:rPr>
      </w:pPr>
      <w:r>
        <w:rPr>
          <w:rFonts w:hint="eastAsia" w:ascii="宋体" w:hAnsi="宋体" w:cs="宋体"/>
          <w:bCs/>
          <w:sz w:val="24"/>
          <w:szCs w:val="24"/>
        </w:rPr>
        <w:t>1、上表所列各项均为不可负偏离条款。</w:t>
      </w:r>
    </w:p>
    <w:p>
      <w:pPr>
        <w:spacing w:line="276" w:lineRule="auto"/>
        <w:ind w:firstLine="480" w:firstLineChars="200"/>
        <w:rPr>
          <w:rFonts w:ascii="宋体" w:hAnsi="宋体" w:cs="宋体"/>
          <w:bCs/>
          <w:sz w:val="24"/>
          <w:szCs w:val="24"/>
        </w:rPr>
      </w:pPr>
      <w:r>
        <w:rPr>
          <w:rFonts w:hint="eastAsia" w:ascii="宋体" w:hAnsi="宋体" w:cs="宋体"/>
          <w:bCs/>
          <w:sz w:val="24"/>
          <w:szCs w:val="24"/>
        </w:rPr>
        <w:t>2、“投标文件响应”一栏应当详细填写投标人自身响应情况，而不能不合理照搬照抄招标文件实质性条款具体内容。</w:t>
      </w:r>
      <w:r>
        <w:rPr>
          <w:rFonts w:hint="eastAsia" w:ascii="宋体" w:hAnsi="宋体" w:cs="宋体"/>
          <w:b/>
          <w:bCs/>
          <w:sz w:val="24"/>
          <w:szCs w:val="24"/>
        </w:rPr>
        <w:t>如完全满足实质性条款具体内容可填写“完全响应”，除招标文件另有注明外，不强制要求逐条列出响应。</w:t>
      </w:r>
    </w:p>
    <w:p>
      <w:pPr>
        <w:spacing w:line="276" w:lineRule="auto"/>
        <w:ind w:firstLine="480" w:firstLineChars="200"/>
        <w:rPr>
          <w:rFonts w:ascii="宋体" w:hAnsi="宋体" w:cs="宋体"/>
          <w:bCs/>
          <w:sz w:val="24"/>
          <w:szCs w:val="24"/>
        </w:rPr>
      </w:pPr>
      <w:r>
        <w:rPr>
          <w:rFonts w:hint="eastAsia" w:ascii="宋体" w:hAnsi="宋体" w:cs="宋体"/>
          <w:bCs/>
          <w:sz w:val="24"/>
          <w:szCs w:val="24"/>
        </w:rPr>
        <w:t>3、“偏离情况”一栏应填写</w:t>
      </w:r>
      <w:r>
        <w:rPr>
          <w:rFonts w:hint="eastAsia" w:ascii="宋体" w:hAnsi="宋体" w:cs="宋体"/>
          <w:sz w:val="24"/>
          <w:szCs w:val="24"/>
        </w:rPr>
        <w:t>“</w:t>
      </w:r>
      <w:r>
        <w:rPr>
          <w:rFonts w:hint="eastAsia" w:ascii="宋体" w:hAnsi="宋体" w:cs="宋体"/>
          <w:b/>
          <w:bCs/>
          <w:sz w:val="24"/>
          <w:szCs w:val="24"/>
        </w:rPr>
        <w:t>正偏离</w:t>
      </w:r>
      <w:r>
        <w:rPr>
          <w:rFonts w:hint="eastAsia" w:ascii="宋体" w:hAnsi="宋体" w:cs="宋体"/>
          <w:sz w:val="24"/>
          <w:szCs w:val="24"/>
        </w:rPr>
        <w:t>”或“</w:t>
      </w:r>
      <w:r>
        <w:rPr>
          <w:rFonts w:hint="eastAsia" w:ascii="宋体" w:hAnsi="宋体" w:cs="宋体"/>
          <w:b/>
          <w:bCs/>
          <w:sz w:val="24"/>
          <w:szCs w:val="24"/>
        </w:rPr>
        <w:t>负偏离</w:t>
      </w:r>
      <w:r>
        <w:rPr>
          <w:rFonts w:hint="eastAsia" w:ascii="宋体" w:hAnsi="宋体" w:cs="宋体"/>
          <w:sz w:val="24"/>
          <w:szCs w:val="24"/>
        </w:rPr>
        <w:t>”或“</w:t>
      </w:r>
      <w:r>
        <w:rPr>
          <w:rFonts w:hint="eastAsia" w:ascii="宋体" w:hAnsi="宋体" w:cs="宋体"/>
          <w:b/>
          <w:bCs/>
          <w:sz w:val="24"/>
          <w:szCs w:val="24"/>
        </w:rPr>
        <w:t>无偏离</w:t>
      </w:r>
      <w:r>
        <w:rPr>
          <w:rFonts w:hint="eastAsia" w:ascii="宋体" w:hAnsi="宋体" w:cs="宋体"/>
          <w:sz w:val="24"/>
          <w:szCs w:val="24"/>
        </w:rPr>
        <w:t>”</w:t>
      </w:r>
      <w:r>
        <w:rPr>
          <w:rFonts w:hint="eastAsia" w:ascii="宋体" w:hAnsi="宋体" w:cs="宋体"/>
          <w:bCs/>
          <w:sz w:val="24"/>
          <w:szCs w:val="24"/>
        </w:rPr>
        <w:t>，“正偏离”表示“投标响应优于实质性条款具体内容要求”，“负偏离”表示“投标响应不满足实质性条款具体内容要求”，“无偏离”表示“投标响应与实质性条款具体内容要求一致”。</w:t>
      </w:r>
    </w:p>
    <w:p>
      <w:pPr>
        <w:spacing w:line="276" w:lineRule="auto"/>
        <w:ind w:firstLine="480" w:firstLineChars="200"/>
        <w:rPr>
          <w:rFonts w:ascii="宋体" w:hAnsi="宋体" w:cs="宋体"/>
          <w:bCs/>
          <w:sz w:val="24"/>
          <w:szCs w:val="24"/>
        </w:rPr>
      </w:pPr>
      <w:r>
        <w:rPr>
          <w:rFonts w:hint="eastAsia" w:ascii="宋体" w:hAnsi="宋体" w:cs="宋体"/>
          <w:bCs/>
          <w:sz w:val="24"/>
          <w:szCs w:val="24"/>
        </w:rPr>
        <w:t>4、评审委员会有权对投标响应情况作出判断。</w:t>
      </w:r>
    </w:p>
    <w:p>
      <w:pPr>
        <w:spacing w:line="276" w:lineRule="auto"/>
        <w:ind w:firstLine="480" w:firstLineChars="200"/>
        <w:rPr>
          <w:rFonts w:ascii="宋体" w:hAnsi="宋体" w:cs="宋体"/>
          <w:bCs/>
          <w:sz w:val="24"/>
          <w:szCs w:val="24"/>
        </w:rPr>
      </w:pPr>
      <w:r>
        <w:rPr>
          <w:rFonts w:hint="eastAsia" w:ascii="宋体" w:hAnsi="宋体" w:cs="宋体"/>
          <w:bCs/>
          <w:sz w:val="24"/>
          <w:szCs w:val="24"/>
        </w:rPr>
        <w:t>5、实质性响应条款“投标响应情况”与投标文件其它内容冲突的，以实质性响应条款“投标响应情况”为准。</w:t>
      </w:r>
    </w:p>
    <w:p>
      <w:pPr>
        <w:spacing w:line="276" w:lineRule="auto"/>
        <w:ind w:firstLine="480" w:firstLineChars="200"/>
        <w:rPr>
          <w:rFonts w:ascii="宋体" w:hAnsi="宋体" w:cs="宋体"/>
          <w:bCs/>
          <w:sz w:val="24"/>
          <w:szCs w:val="24"/>
        </w:rPr>
      </w:pPr>
      <w:r>
        <w:rPr>
          <w:rFonts w:hint="eastAsia" w:ascii="宋体" w:hAnsi="宋体" w:cs="宋体"/>
          <w:bCs/>
          <w:sz w:val="24"/>
          <w:szCs w:val="24"/>
        </w:rPr>
        <w:t>6、以上实质性条款中要求提供证明材料，需如实提供证明材料扫描件，在“说明”一栏中列明证明材料的位置，以便评审；未要求提供证明材料的，投标人可以不提供。</w:t>
      </w:r>
    </w:p>
    <w:p>
      <w:pPr>
        <w:snapToGrid w:val="0"/>
        <w:spacing w:afterLines="25" w:line="300" w:lineRule="auto"/>
        <w:rPr>
          <w:rFonts w:cs="Times New Roman" w:asciiTheme="majorEastAsia" w:hAnsiTheme="majorEastAsia" w:eastAsiaTheme="majorEastAsia"/>
          <w:b/>
          <w:color w:val="FF0000"/>
          <w:sz w:val="24"/>
          <w:szCs w:val="24"/>
        </w:rPr>
      </w:pPr>
    </w:p>
    <w:p>
      <w:pPr>
        <w:pStyle w:val="9"/>
        <w:rPr>
          <w:rFonts w:cs="Times New Roman" w:asciiTheme="majorEastAsia" w:hAnsiTheme="majorEastAsia" w:eastAsiaTheme="majorEastAsia"/>
          <w:color w:val="FF0000"/>
          <w:szCs w:val="24"/>
        </w:rPr>
      </w:pPr>
    </w:p>
    <w:p>
      <w:pPr>
        <w:pStyle w:val="10"/>
        <w:rPr>
          <w:rFonts w:cs="Times New Roman" w:asciiTheme="majorEastAsia" w:hAnsiTheme="majorEastAsia" w:eastAsiaTheme="majorEastAsia"/>
          <w:b/>
          <w:color w:val="FF0000"/>
          <w:szCs w:val="24"/>
        </w:rPr>
      </w:pPr>
    </w:p>
    <w:p>
      <w:pPr>
        <w:rPr>
          <w:rFonts w:ascii="宋体" w:hAnsi="宋体" w:eastAsia="宋体" w:cs="Times New Roman"/>
          <w:b/>
          <w:bCs/>
          <w:kern w:val="0"/>
          <w:sz w:val="24"/>
          <w:szCs w:val="20"/>
        </w:rPr>
      </w:pPr>
      <w:r>
        <w:rPr>
          <w:rFonts w:hint="eastAsia" w:ascii="宋体" w:hAnsi="宋体" w:eastAsia="宋体" w:cs="Times New Roman"/>
          <w:b/>
          <w:bCs/>
          <w:kern w:val="0"/>
          <w:sz w:val="24"/>
          <w:szCs w:val="20"/>
        </w:rPr>
        <w:br w:type="page"/>
      </w:r>
    </w:p>
    <w:p>
      <w:pPr>
        <w:widowControl/>
        <w:jc w:val="center"/>
        <w:outlineLvl w:val="3"/>
        <w:rPr>
          <w:rFonts w:ascii="黑体" w:hAnsi="宋体" w:eastAsia="黑体"/>
          <w:kern w:val="0"/>
          <w:sz w:val="24"/>
          <w:szCs w:val="20"/>
        </w:rPr>
      </w:pPr>
      <w:r>
        <w:rPr>
          <w:rFonts w:hint="eastAsia" w:ascii="宋体" w:hAnsi="宋体" w:eastAsia="宋体" w:cs="Times New Roman"/>
          <w:b/>
          <w:bCs/>
          <w:kern w:val="0"/>
          <w:sz w:val="24"/>
          <w:szCs w:val="20"/>
        </w:rPr>
        <w:t>4.政府采购违法行为风险知悉确认书</w:t>
      </w:r>
    </w:p>
    <w:p>
      <w:pPr>
        <w:widowControl/>
        <w:jc w:val="center"/>
        <w:rPr>
          <w:rFonts w:ascii="黑体" w:hAnsi="宋体" w:eastAsia="黑体"/>
          <w:kern w:val="0"/>
          <w:sz w:val="24"/>
          <w:szCs w:val="20"/>
        </w:rPr>
      </w:pPr>
    </w:p>
    <w:p>
      <w:pPr>
        <w:ind w:firstLine="420" w:firstLineChars="200"/>
      </w:pPr>
      <w:r>
        <w:rPr>
          <w:rFonts w:hint="eastAsia"/>
        </w:rPr>
        <w:t>本公司在投标前已充分知悉以下情形为参与政府采购活动时的重大风险事项，并承诺已对下述风险提示事项重点排查，做到严谨、诚信、依法依规参与政府采购活动。</w:t>
      </w:r>
    </w:p>
    <w:p>
      <w:pPr>
        <w:ind w:firstLine="422" w:firstLineChars="200"/>
        <w:rPr>
          <w:b/>
        </w:rPr>
      </w:pPr>
      <w:r>
        <w:rPr>
          <w:rFonts w:hint="eastAsia"/>
          <w:b/>
        </w:rPr>
        <w:t>一、本公司已充分知悉“隐瞒真实情况，提供虚假资料”的法定情形，相关情形包括但不限于：</w:t>
      </w:r>
    </w:p>
    <w:p>
      <w:pPr>
        <w:ind w:firstLine="420" w:firstLineChars="200"/>
      </w:pPr>
      <w:r>
        <w:rPr>
          <w:rFonts w:hint="eastAsia"/>
        </w:rPr>
        <w:t>（一）通过转让或者租借等方式从其他单位获取资格或者资质证书投标的。</w:t>
      </w:r>
    </w:p>
    <w:p>
      <w:pPr>
        <w:ind w:firstLine="420" w:firstLineChars="200"/>
      </w:pPr>
      <w:r>
        <w:rPr>
          <w:rFonts w:hint="eastAsia"/>
        </w:rPr>
        <w:t>（二）由其他单位或者其他单位负责人在投标供应商编制的投标文件上加盖印章或者签字的。</w:t>
      </w:r>
    </w:p>
    <w:p>
      <w:pPr>
        <w:ind w:firstLine="420" w:firstLineChars="200"/>
      </w:pPr>
      <w:r>
        <w:rPr>
          <w:rFonts w:hint="eastAsia"/>
        </w:rPr>
        <w:t>（三）项目负责人或者主要技术人员不是本单位人员的。</w:t>
      </w:r>
    </w:p>
    <w:p>
      <w:pPr>
        <w:ind w:firstLine="420" w:firstLineChars="200"/>
      </w:pPr>
      <w:r>
        <w:rPr>
          <w:rFonts w:hint="eastAsia"/>
        </w:rPr>
        <w:t>（四）投标保证金不是从投标供应商基本账户转出的。</w:t>
      </w:r>
    </w:p>
    <w:p>
      <w:pPr>
        <w:ind w:firstLine="420" w:firstLineChars="200"/>
      </w:pPr>
      <w:r>
        <w:rPr>
          <w:rFonts w:hint="eastAsia"/>
        </w:rPr>
        <w:t>（五）其他隐瞒真实情况、提供虚假资料的行为。</w:t>
      </w:r>
    </w:p>
    <w:p>
      <w:pPr>
        <w:ind w:firstLine="422" w:firstLineChars="200"/>
        <w:rPr>
          <w:b/>
        </w:rPr>
      </w:pPr>
      <w:r>
        <w:rPr>
          <w:rFonts w:hint="eastAsia"/>
          <w:b/>
        </w:rPr>
        <w:t>二、本公司已充分知悉“与其他采购参加人串通投标”的法定情形，相关情形包括但不限于：</w:t>
      </w:r>
    </w:p>
    <w:p>
      <w:pPr>
        <w:ind w:firstLine="420" w:firstLineChars="200"/>
      </w:pPr>
      <w:r>
        <w:rPr>
          <w:rFonts w:hint="eastAsia"/>
        </w:rPr>
        <w:t>（一）投标供应商之间相互约定给予未中标的供应商利益补偿。</w:t>
      </w:r>
    </w:p>
    <w:p>
      <w:pPr>
        <w:ind w:firstLine="420" w:firstLineChars="200"/>
      </w:pPr>
      <w:r>
        <w:rPr>
          <w:rFonts w:hint="eastAsia"/>
        </w:rPr>
        <w:t>（二）不同投标供应商的法定代表人、主要经营负责人、项目投标授权代表人、项目负责人、主要技术人员为同一人、属同一单位或者在同一单位缴纳社会保险。</w:t>
      </w:r>
    </w:p>
    <w:p>
      <w:pPr>
        <w:ind w:firstLine="420" w:firstLineChars="200"/>
      </w:pPr>
      <w:r>
        <w:rPr>
          <w:rFonts w:hint="eastAsia"/>
        </w:rPr>
        <w:t>（三）不同投标供应商的投标文件由同一单位或者同一人编制，或者由同一人分阶段参与编制的。</w:t>
      </w:r>
    </w:p>
    <w:p>
      <w:pPr>
        <w:ind w:firstLine="420" w:firstLineChars="200"/>
      </w:pPr>
      <w:r>
        <w:rPr>
          <w:rFonts w:hint="eastAsia"/>
        </w:rPr>
        <w:t>（四）不同投标供应商的投标文件或部分投标文件相互混装。</w:t>
      </w:r>
    </w:p>
    <w:p>
      <w:pPr>
        <w:ind w:firstLine="420" w:firstLineChars="200"/>
      </w:pPr>
      <w:r>
        <w:rPr>
          <w:rFonts w:hint="eastAsia"/>
        </w:rPr>
        <w:t>（五）不同投标供应商的投标文件内容存在非正常一致。</w:t>
      </w:r>
    </w:p>
    <w:p>
      <w:pPr>
        <w:ind w:firstLine="420" w:firstLineChars="200"/>
      </w:pPr>
      <w:r>
        <w:rPr>
          <w:rFonts w:hint="eastAsia"/>
        </w:rPr>
        <w:t>（六）由同一单位工作人员为两家以上（含两家）供应商进行同一项投标活动的。</w:t>
      </w:r>
    </w:p>
    <w:p>
      <w:pPr>
        <w:ind w:firstLine="420" w:firstLineChars="200"/>
      </w:pPr>
      <w:r>
        <w:rPr>
          <w:rFonts w:hint="eastAsia"/>
        </w:rPr>
        <w:t>（七）不同投标人的投标报价呈规律性差异。</w:t>
      </w:r>
    </w:p>
    <w:p>
      <w:pPr>
        <w:ind w:firstLine="420" w:firstLineChars="200"/>
      </w:pPr>
      <w:r>
        <w:rPr>
          <w:rFonts w:hint="eastAsia"/>
        </w:rPr>
        <w:t>（八）不同投标人的投标保证金从同一单位或者个人的账户转出。</w:t>
      </w:r>
    </w:p>
    <w:p>
      <w:pPr>
        <w:ind w:firstLine="420" w:firstLineChars="200"/>
      </w:pPr>
      <w:r>
        <w:rPr>
          <w:rFonts w:hint="eastAsia"/>
        </w:rPr>
        <w:t>（九）主管部门依照法律、法规认定的其他情形。</w:t>
      </w:r>
    </w:p>
    <w:p>
      <w:pPr>
        <w:ind w:firstLine="422" w:firstLineChars="200"/>
        <w:rPr>
          <w:b/>
        </w:rPr>
      </w:pPr>
      <w:r>
        <w:rPr>
          <w:rFonts w:hint="eastAsia"/>
          <w:b/>
        </w:rPr>
        <w:t>三、本公司已充分知悉下列情形所对应的法律风险，并在投标前已对相关风险事项进行排查。</w:t>
      </w:r>
    </w:p>
    <w:p>
      <w:pPr>
        <w:ind w:firstLine="420" w:firstLineChars="200"/>
        <w:rPr>
          <w:b/>
        </w:rPr>
      </w:pPr>
      <w:r>
        <w:rPr>
          <w:rFonts w:hint="eastAsia"/>
        </w:rPr>
        <w:t>（一）对于从其他主体获取的投标资料，供应商应审慎核查，确保投标资料的真实性。</w:t>
      </w:r>
      <w:r>
        <w:rPr>
          <w:rFonts w:hint="eastAsia"/>
          <w:b/>
        </w:rPr>
        <w:t>如主管部门查实投标文件中存在虚假资料的，无论相关资料是否由第三方或本公司员工提供，均不影响主管部门对供应商存在“隐瞒真实情况，提供虚假资料”违法行为的认定。</w:t>
      </w:r>
    </w:p>
    <w:p>
      <w:pPr>
        <w:ind w:firstLine="420" w:firstLineChars="200"/>
      </w:pPr>
      <w:r>
        <w:rPr>
          <w:rFonts w:hint="eastAsia"/>
        </w:rPr>
        <w:t>（二）对于涉及国家机关出具的公文、证件、证明材料等文件，一旦涉嫌虚假，经查实，主管部门将依法从严处理，并移送有关部门追究法律责任；涉嫌犯罪的，主管部门将一并移送司法机关追究法律责任。</w:t>
      </w:r>
    </w:p>
    <w:p>
      <w:pPr>
        <w:ind w:firstLine="420" w:firstLineChars="200"/>
      </w:pPr>
      <w:r>
        <w:rPr>
          <w:rFonts w:hint="eastAsia"/>
        </w:rPr>
        <w:t>（三）对于涉及安全生产、特种作业、抢险救灾、防疫等政府采购项目，供应商实施提供虚假资料、串通投标等违法行为的，主管部门将依法从严处理。</w:t>
      </w:r>
    </w:p>
    <w:p>
      <w:pPr>
        <w:ind w:firstLine="420" w:firstLineChars="200"/>
      </w:pPr>
      <w:r>
        <w:rPr>
          <w:rFonts w:hint="eastAsia"/>
        </w:rPr>
        <w:t>（四）供应商应严格规范项目授权代表、员工参与招标投标的行为，加强对投标文件的审核。项目授权代表、员工编制、上传投标文件等行为违反政府采购法律法规或招标文件要求的，投标供应商应当依法承担相应法律责任。</w:t>
      </w:r>
    </w:p>
    <w:p>
      <w:pPr>
        <w:ind w:firstLine="420" w:firstLineChars="200"/>
      </w:pPr>
      <w:r>
        <w:rPr>
          <w:rFonts w:hint="eastAsia"/>
        </w:rPr>
        <w:t>（五）供应商对投标电子密钥负有妥善保管、及时变更和续期等主体责任。供应商使用电子密钥在深圳政府采购网站进行的活动，均具有法律效力，须承担相应的法律后果。供应商擅自将投标密钥出借他人使用所造成的法律后果，由供应商自行承担。</w:t>
      </w:r>
    </w:p>
    <w:p>
      <w:pPr>
        <w:ind w:firstLine="420" w:firstLineChars="200"/>
      </w:pPr>
      <w:r>
        <w:rPr>
          <w:rFonts w:hint="eastAsia"/>
        </w:rPr>
        <w:t>（六）单位负责人为同一人或者存在直接控股、管理关系的不同供应商，不得参加同一合同项下的政府采购活动。相关情形如查实，依法作投标无效处理；涉嫌串通投标等违法行为的，主管部门将依法调查处理。</w:t>
      </w:r>
    </w:p>
    <w:p>
      <w:pPr>
        <w:ind w:firstLine="422" w:firstLineChars="200"/>
        <w:rPr>
          <w:b/>
        </w:rPr>
      </w:pPr>
      <w:r>
        <w:rPr>
          <w:rFonts w:hint="eastAsia"/>
          <w:b/>
        </w:rPr>
        <w:t>四、本公司已充分知悉政府采购违法、违规行为的法律后果。</w:t>
      </w:r>
    </w:p>
    <w:p>
      <w:pPr>
        <w:ind w:firstLine="420" w:firstLineChars="200"/>
      </w:pPr>
      <w:r>
        <w:rPr>
          <w:rFonts w:hint="eastAsia"/>
        </w:rPr>
        <w:t>经查实，若投标供应商存在政府采购违法、违规行为，主管部门将依据《深圳经济特区政府采购条例》第五十七条的规定，处以一至三年内禁止参与本市政府采购，并由主管部门记入供应商诚信档案，处采购金额千分之十以上千分之二十以下罚款；情节严重的，取消参与本市政府采购资格，处采购金额千分之二十以上千分之三十以下罚款，并由市场监管部门依法吊销营业执照。</w:t>
      </w:r>
    </w:p>
    <w:p>
      <w:pPr>
        <w:ind w:firstLine="420" w:firstLineChars="200"/>
      </w:pPr>
      <w:r>
        <w:rPr>
          <w:rFonts w:hint="eastAsia"/>
          <w:highlight w:val="yellow"/>
        </w:rPr>
        <w:t>以下文字请投标供应商抄写并确认：“本公司已仔细阅读《政府采购违法行为风险知悉确认书》，充分知悉违法行为的法律后果，并承诺将严谨、诚信、依法依规参与政府采购活动”。</w:t>
      </w:r>
    </w:p>
    <w:tbl>
      <w:tblPr>
        <w:tblStyle w:val="33"/>
        <w:tblW w:w="0" w:type="auto"/>
        <w:tblInd w:w="0" w:type="dxa"/>
        <w:tblBorders>
          <w:top w:val="none" w:color="auto" w:sz="0" w:space="0"/>
          <w:left w:val="none" w:color="auto" w:sz="0" w:space="0"/>
          <w:bottom w:val="single" w:color="auto"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529"/>
      </w:tblGrid>
      <w:tr>
        <w:tblPrEx>
          <w:tblBorders>
            <w:top w:val="none" w:color="auto" w:sz="0" w:space="0"/>
            <w:left w:val="none" w:color="auto" w:sz="0" w:space="0"/>
            <w:bottom w:val="single" w:color="auto" w:sz="4" w:space="0"/>
            <w:right w:val="none" w:color="auto" w:sz="0" w:space="0"/>
            <w:insideH w:val="none" w:color="auto" w:sz="0" w:space="0"/>
            <w:insideV w:val="none" w:color="auto" w:sz="0" w:space="0"/>
          </w:tblBorders>
        </w:tblPrEx>
        <w:trPr>
          <w:trHeight w:val="304" w:hRule="atLeast"/>
        </w:trPr>
        <w:tc>
          <w:tcPr>
            <w:tcW w:w="8529" w:type="dxa"/>
            <w:tcBorders>
              <w:top w:val="nil"/>
              <w:left w:val="nil"/>
              <w:bottom w:val="single" w:color="000000" w:sz="8" w:space="0"/>
              <w:right w:val="nil"/>
            </w:tcBorders>
          </w:tcPr>
          <w:p>
            <w:pPr>
              <w:autoSpaceDE w:val="0"/>
              <w:autoSpaceDN w:val="0"/>
              <w:spacing w:line="400" w:lineRule="exact"/>
              <w:ind w:firstLine="1866"/>
              <w:rPr>
                <w:rFonts w:ascii="宋体" w:hAnsi="宋体"/>
                <w:spacing w:val="-4"/>
                <w:kern w:val="0"/>
                <w:szCs w:val="21"/>
              </w:rPr>
            </w:pPr>
          </w:p>
        </w:tc>
      </w:tr>
      <w:tr>
        <w:tblPrEx>
          <w:tblBorders>
            <w:top w:val="none" w:color="auto" w:sz="0"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9" w:type="dxa"/>
            <w:tcBorders>
              <w:top w:val="single" w:color="000000" w:sz="8" w:space="0"/>
              <w:left w:val="nil"/>
              <w:bottom w:val="single" w:color="000000" w:sz="8" w:space="0"/>
              <w:right w:val="nil"/>
            </w:tcBorders>
          </w:tcPr>
          <w:p>
            <w:pPr>
              <w:autoSpaceDE w:val="0"/>
              <w:autoSpaceDN w:val="0"/>
              <w:spacing w:line="400" w:lineRule="exact"/>
              <w:ind w:firstLine="1866"/>
              <w:rPr>
                <w:rFonts w:ascii="宋体" w:hAnsi="宋体"/>
                <w:spacing w:val="-4"/>
                <w:kern w:val="0"/>
                <w:szCs w:val="21"/>
              </w:rPr>
            </w:pPr>
          </w:p>
        </w:tc>
      </w:tr>
      <w:tr>
        <w:tblPrEx>
          <w:tblBorders>
            <w:top w:val="none" w:color="auto" w:sz="0"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9" w:type="dxa"/>
            <w:tcBorders>
              <w:top w:val="single" w:color="000000" w:sz="8" w:space="0"/>
              <w:left w:val="nil"/>
              <w:bottom w:val="single" w:color="000000" w:sz="8" w:space="0"/>
              <w:right w:val="nil"/>
            </w:tcBorders>
          </w:tcPr>
          <w:p>
            <w:pPr>
              <w:autoSpaceDE w:val="0"/>
              <w:autoSpaceDN w:val="0"/>
              <w:spacing w:line="400" w:lineRule="exact"/>
              <w:ind w:firstLine="1866"/>
              <w:rPr>
                <w:rFonts w:ascii="宋体" w:hAnsi="宋体"/>
                <w:spacing w:val="-4"/>
                <w:kern w:val="0"/>
                <w:szCs w:val="21"/>
              </w:rPr>
            </w:pPr>
          </w:p>
        </w:tc>
      </w:tr>
      <w:tr>
        <w:tblPrEx>
          <w:tblBorders>
            <w:top w:val="none" w:color="auto" w:sz="0"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9" w:type="dxa"/>
            <w:tcBorders>
              <w:top w:val="single" w:color="000000" w:sz="8" w:space="0"/>
              <w:left w:val="nil"/>
              <w:bottom w:val="single" w:color="auto" w:sz="8" w:space="0"/>
              <w:right w:val="nil"/>
            </w:tcBorders>
          </w:tcPr>
          <w:p>
            <w:pPr>
              <w:autoSpaceDE w:val="0"/>
              <w:autoSpaceDN w:val="0"/>
              <w:spacing w:line="400" w:lineRule="exact"/>
              <w:ind w:firstLine="1866"/>
              <w:rPr>
                <w:rFonts w:ascii="宋体" w:hAnsi="宋体"/>
                <w:spacing w:val="-4"/>
                <w:kern w:val="0"/>
                <w:szCs w:val="21"/>
              </w:rPr>
            </w:pPr>
          </w:p>
        </w:tc>
      </w:tr>
    </w:tbl>
    <w:p>
      <w:pPr>
        <w:widowControl/>
        <w:wordWrap w:val="0"/>
        <w:autoSpaceDE w:val="0"/>
        <w:autoSpaceDN w:val="0"/>
        <w:spacing w:line="400" w:lineRule="exact"/>
        <w:ind w:right="808" w:firstLine="404" w:firstLineChars="200"/>
        <w:jc w:val="right"/>
        <w:rPr>
          <w:rFonts w:ascii="宋体" w:hAnsi="宋体"/>
          <w:spacing w:val="-4"/>
          <w:kern w:val="0"/>
          <w:szCs w:val="21"/>
          <w:u w:val="single"/>
        </w:rPr>
      </w:pPr>
      <w:r>
        <w:rPr>
          <w:rFonts w:hint="eastAsia" w:ascii="宋体" w:hAnsi="宋体"/>
          <w:spacing w:val="-4"/>
          <w:kern w:val="0"/>
          <w:szCs w:val="21"/>
        </w:rPr>
        <w:t>负责人/投标授权代表签名：</w:t>
      </w:r>
    </w:p>
    <w:p>
      <w:pPr>
        <w:widowControl/>
        <w:wordWrap w:val="0"/>
        <w:autoSpaceDE w:val="0"/>
        <w:autoSpaceDN w:val="0"/>
        <w:spacing w:line="400" w:lineRule="exact"/>
        <w:ind w:right="808" w:firstLine="404" w:firstLineChars="200"/>
        <w:jc w:val="right"/>
        <w:rPr>
          <w:rFonts w:ascii="宋体" w:hAnsi="宋体"/>
          <w:spacing w:val="-4"/>
          <w:kern w:val="0"/>
          <w:szCs w:val="21"/>
          <w:u w:val="single"/>
        </w:rPr>
      </w:pPr>
      <w:r>
        <w:rPr>
          <w:rFonts w:hint="eastAsia" w:ascii="宋体" w:hAnsi="宋体"/>
          <w:spacing w:val="-4"/>
          <w:kern w:val="0"/>
          <w:szCs w:val="21"/>
        </w:rPr>
        <w:t>知悉人（公章）：</w:t>
      </w:r>
    </w:p>
    <w:p>
      <w:pPr>
        <w:widowControl/>
        <w:wordWrap w:val="0"/>
        <w:autoSpaceDE w:val="0"/>
        <w:autoSpaceDN w:val="0"/>
        <w:spacing w:line="400" w:lineRule="exact"/>
        <w:ind w:right="808" w:firstLine="404" w:firstLineChars="200"/>
        <w:jc w:val="right"/>
        <w:rPr>
          <w:rFonts w:ascii="宋体" w:hAnsi="宋体"/>
          <w:spacing w:val="-4"/>
          <w:kern w:val="0"/>
          <w:szCs w:val="21"/>
          <w:u w:val="single"/>
        </w:rPr>
      </w:pPr>
      <w:r>
        <w:rPr>
          <w:rFonts w:hint="eastAsia" w:ascii="宋体" w:hAnsi="宋体"/>
          <w:spacing w:val="-4"/>
          <w:kern w:val="0"/>
          <w:szCs w:val="21"/>
        </w:rPr>
        <w:t xml:space="preserve">     日期：</w:t>
      </w:r>
    </w:p>
    <w:p>
      <w:pPr>
        <w:widowControl/>
        <w:wordWrap w:val="0"/>
        <w:autoSpaceDE w:val="0"/>
        <w:autoSpaceDN w:val="0"/>
        <w:spacing w:line="400" w:lineRule="exact"/>
        <w:ind w:right="1414" w:firstLine="404" w:firstLineChars="200"/>
        <w:jc w:val="right"/>
        <w:rPr>
          <w:rFonts w:ascii="宋体" w:hAnsi="宋体"/>
          <w:spacing w:val="-4"/>
          <w:kern w:val="0"/>
          <w:szCs w:val="21"/>
        </w:rPr>
      </w:pPr>
    </w:p>
    <w:p>
      <w:pPr>
        <w:widowControl/>
        <w:autoSpaceDE w:val="0"/>
        <w:autoSpaceDN w:val="0"/>
        <w:spacing w:line="400" w:lineRule="exact"/>
        <w:ind w:firstLine="406" w:firstLineChars="200"/>
        <w:jc w:val="left"/>
        <w:rPr>
          <w:rFonts w:ascii="宋体" w:hAnsi="宋体"/>
          <w:b/>
          <w:bCs/>
          <w:color w:val="FF0000"/>
          <w:spacing w:val="-4"/>
          <w:kern w:val="0"/>
          <w:szCs w:val="21"/>
        </w:rPr>
      </w:pPr>
      <w:r>
        <w:rPr>
          <w:rFonts w:hint="eastAsia" w:ascii="宋体" w:hAnsi="宋体"/>
          <w:b/>
          <w:bCs/>
          <w:color w:val="FF0000"/>
          <w:spacing w:val="-4"/>
          <w:kern w:val="0"/>
          <w:szCs w:val="21"/>
        </w:rPr>
        <w:t>注：</w:t>
      </w:r>
    </w:p>
    <w:p>
      <w:pPr>
        <w:widowControl/>
        <w:autoSpaceDE w:val="0"/>
        <w:autoSpaceDN w:val="0"/>
        <w:spacing w:line="400" w:lineRule="exact"/>
        <w:ind w:firstLine="406" w:firstLineChars="200"/>
        <w:jc w:val="left"/>
        <w:rPr>
          <w:rFonts w:ascii="宋体" w:hAnsi="宋体"/>
          <w:b/>
          <w:bCs/>
          <w:color w:val="FF0000"/>
          <w:spacing w:val="-4"/>
          <w:kern w:val="0"/>
          <w:szCs w:val="21"/>
        </w:rPr>
      </w:pPr>
      <w:r>
        <w:rPr>
          <w:rFonts w:hint="eastAsia" w:ascii="宋体" w:hAnsi="宋体"/>
          <w:b/>
          <w:bCs/>
          <w:color w:val="FF0000"/>
          <w:spacing w:val="-4"/>
          <w:kern w:val="0"/>
          <w:szCs w:val="21"/>
        </w:rPr>
        <w:t>1.根据《深圳市财政局关于采购文件增加风险告知有关事项的通知》（深财购〔2022〕22 号），该风险知悉确认书用于对供应商违法行为的警示，不作为供应商资格性审查及符合性审查条件。</w:t>
      </w:r>
    </w:p>
    <w:p>
      <w:pPr>
        <w:widowControl/>
        <w:autoSpaceDE w:val="0"/>
        <w:autoSpaceDN w:val="0"/>
        <w:spacing w:line="400" w:lineRule="exact"/>
        <w:ind w:firstLine="406" w:firstLineChars="200"/>
        <w:jc w:val="left"/>
        <w:rPr>
          <w:rFonts w:ascii="宋体" w:hAnsi="宋体"/>
          <w:b/>
          <w:bCs/>
          <w:color w:val="FF0000"/>
          <w:spacing w:val="-4"/>
          <w:kern w:val="0"/>
          <w:szCs w:val="21"/>
        </w:rPr>
      </w:pPr>
      <w:r>
        <w:rPr>
          <w:rFonts w:hint="eastAsia" w:ascii="宋体" w:hAnsi="宋体"/>
          <w:b/>
          <w:bCs/>
          <w:color w:val="FF0000"/>
          <w:spacing w:val="-4"/>
          <w:kern w:val="0"/>
          <w:szCs w:val="21"/>
        </w:rPr>
        <w:t>2.投标供应商负责人或投标授权代表签字</w:t>
      </w:r>
      <w:r>
        <w:rPr>
          <w:rFonts w:hint="eastAsia" w:ascii="宋体" w:hAnsi="宋体"/>
          <w:b/>
          <w:bCs/>
          <w:color w:val="FF0000"/>
          <w:spacing w:val="-4"/>
          <w:kern w:val="0"/>
          <w:szCs w:val="21"/>
          <w:highlight w:val="yellow"/>
        </w:rPr>
        <w:t>并加盖单位公章</w:t>
      </w:r>
      <w:r>
        <w:rPr>
          <w:rFonts w:hint="eastAsia" w:ascii="宋体" w:hAnsi="宋体"/>
          <w:b/>
          <w:bCs/>
          <w:color w:val="FF0000"/>
          <w:spacing w:val="-4"/>
          <w:kern w:val="0"/>
          <w:szCs w:val="21"/>
        </w:rPr>
        <w:t>后，扫描上传至投标文件一并提交。</w:t>
      </w:r>
    </w:p>
    <w:p>
      <w:pPr>
        <w:pStyle w:val="9"/>
        <w:rPr>
          <w:rFonts w:ascii="宋体" w:hAnsi="宋体"/>
          <w:color w:val="FF0000"/>
          <w:spacing w:val="-4"/>
          <w:kern w:val="0"/>
          <w:szCs w:val="21"/>
        </w:rPr>
      </w:pPr>
    </w:p>
    <w:p>
      <w:pPr>
        <w:pStyle w:val="10"/>
        <w:rPr>
          <w:rFonts w:ascii="宋体" w:hAnsi="宋体"/>
          <w:b/>
          <w:bCs/>
          <w:color w:val="FF0000"/>
          <w:spacing w:val="-4"/>
          <w:kern w:val="0"/>
          <w:szCs w:val="21"/>
        </w:rPr>
      </w:pPr>
    </w:p>
    <w:p>
      <w:pPr>
        <w:pStyle w:val="10"/>
        <w:rPr>
          <w:rFonts w:ascii="宋体" w:hAnsi="宋体"/>
          <w:b/>
          <w:bCs/>
          <w:color w:val="FF0000"/>
          <w:spacing w:val="-4"/>
          <w:kern w:val="0"/>
          <w:szCs w:val="21"/>
        </w:rPr>
      </w:pPr>
    </w:p>
    <w:p>
      <w:pPr>
        <w:pStyle w:val="10"/>
        <w:rPr>
          <w:rFonts w:ascii="宋体" w:hAnsi="宋体"/>
          <w:b/>
          <w:bCs/>
          <w:color w:val="FF0000"/>
          <w:spacing w:val="-4"/>
          <w:kern w:val="0"/>
          <w:szCs w:val="21"/>
        </w:rPr>
      </w:pPr>
    </w:p>
    <w:p>
      <w:pPr>
        <w:pStyle w:val="10"/>
        <w:rPr>
          <w:rFonts w:ascii="宋体" w:hAnsi="宋体"/>
          <w:b/>
          <w:bCs/>
          <w:color w:val="FF0000"/>
          <w:spacing w:val="-4"/>
          <w:kern w:val="0"/>
          <w:szCs w:val="21"/>
        </w:rPr>
      </w:pPr>
    </w:p>
    <w:p>
      <w:pPr>
        <w:pStyle w:val="10"/>
        <w:rPr>
          <w:rFonts w:ascii="宋体" w:hAnsi="宋体"/>
          <w:b/>
          <w:bCs/>
          <w:color w:val="FF0000"/>
          <w:spacing w:val="-4"/>
          <w:kern w:val="0"/>
          <w:szCs w:val="21"/>
        </w:rPr>
      </w:pPr>
    </w:p>
    <w:p>
      <w:pPr>
        <w:pStyle w:val="10"/>
        <w:rPr>
          <w:rFonts w:ascii="宋体" w:hAnsi="宋体"/>
          <w:b/>
          <w:bCs/>
          <w:color w:val="FF0000"/>
          <w:spacing w:val="-4"/>
          <w:kern w:val="0"/>
          <w:szCs w:val="21"/>
        </w:rPr>
      </w:pPr>
    </w:p>
    <w:p>
      <w:pPr>
        <w:pStyle w:val="10"/>
        <w:rPr>
          <w:rFonts w:ascii="宋体" w:hAnsi="宋体"/>
          <w:b/>
          <w:bCs/>
          <w:color w:val="FF0000"/>
          <w:spacing w:val="-4"/>
          <w:kern w:val="0"/>
          <w:szCs w:val="21"/>
        </w:rPr>
      </w:pPr>
    </w:p>
    <w:p>
      <w:pPr>
        <w:pStyle w:val="10"/>
        <w:rPr>
          <w:rFonts w:ascii="宋体" w:hAnsi="宋体"/>
          <w:b/>
          <w:bCs/>
          <w:color w:val="FF0000"/>
          <w:spacing w:val="-4"/>
          <w:kern w:val="0"/>
          <w:szCs w:val="21"/>
        </w:rPr>
      </w:pPr>
    </w:p>
    <w:p>
      <w:pPr>
        <w:pStyle w:val="10"/>
        <w:rPr>
          <w:rFonts w:ascii="宋体" w:hAnsi="宋体"/>
          <w:b/>
          <w:bCs/>
          <w:color w:val="FF0000"/>
          <w:spacing w:val="-4"/>
          <w:kern w:val="0"/>
          <w:szCs w:val="21"/>
        </w:rPr>
      </w:pPr>
    </w:p>
    <w:p>
      <w:pPr>
        <w:pStyle w:val="10"/>
        <w:rPr>
          <w:rFonts w:ascii="宋体" w:hAnsi="宋体"/>
          <w:b/>
          <w:bCs/>
          <w:color w:val="FF0000"/>
          <w:spacing w:val="-4"/>
          <w:kern w:val="0"/>
          <w:szCs w:val="21"/>
        </w:rPr>
      </w:pPr>
    </w:p>
    <w:p>
      <w:pPr>
        <w:pStyle w:val="10"/>
        <w:rPr>
          <w:rFonts w:ascii="宋体" w:hAnsi="宋体"/>
          <w:b/>
          <w:bCs/>
          <w:color w:val="FF0000"/>
          <w:spacing w:val="-4"/>
          <w:kern w:val="0"/>
          <w:szCs w:val="21"/>
        </w:rPr>
      </w:pPr>
    </w:p>
    <w:p>
      <w:pPr>
        <w:pStyle w:val="10"/>
        <w:rPr>
          <w:rFonts w:ascii="宋体" w:hAnsi="宋体"/>
          <w:b/>
          <w:bCs/>
          <w:color w:val="FF0000"/>
          <w:spacing w:val="-4"/>
          <w:kern w:val="0"/>
          <w:szCs w:val="21"/>
        </w:rPr>
      </w:pPr>
    </w:p>
    <w:p>
      <w:pPr>
        <w:pStyle w:val="10"/>
        <w:rPr>
          <w:rFonts w:ascii="宋体" w:hAnsi="宋体"/>
          <w:b/>
          <w:bCs/>
          <w:color w:val="FF0000"/>
          <w:spacing w:val="-4"/>
          <w:kern w:val="0"/>
          <w:szCs w:val="21"/>
        </w:rPr>
      </w:pPr>
    </w:p>
    <w:p>
      <w:pPr>
        <w:pStyle w:val="10"/>
        <w:rPr>
          <w:rFonts w:ascii="宋体" w:hAnsi="宋体"/>
          <w:b/>
          <w:bCs/>
          <w:color w:val="FF0000"/>
          <w:spacing w:val="-4"/>
          <w:kern w:val="0"/>
          <w:szCs w:val="21"/>
        </w:rPr>
      </w:pPr>
    </w:p>
    <w:p>
      <w:pPr>
        <w:pStyle w:val="10"/>
        <w:rPr>
          <w:rFonts w:ascii="宋体" w:hAnsi="宋体"/>
          <w:b/>
          <w:bCs/>
          <w:color w:val="FF0000"/>
          <w:spacing w:val="-4"/>
          <w:kern w:val="0"/>
          <w:szCs w:val="21"/>
        </w:rPr>
      </w:pPr>
    </w:p>
    <w:p>
      <w:pPr>
        <w:pStyle w:val="10"/>
        <w:rPr>
          <w:rFonts w:ascii="宋体" w:hAnsi="宋体"/>
          <w:b/>
          <w:bCs/>
          <w:color w:val="FF0000"/>
          <w:spacing w:val="-4"/>
          <w:kern w:val="0"/>
          <w:szCs w:val="21"/>
        </w:rPr>
      </w:pPr>
    </w:p>
    <w:p>
      <w:pPr>
        <w:keepNext/>
        <w:keepLines/>
        <w:adjustRightInd w:val="0"/>
        <w:snapToGrid w:val="0"/>
        <w:spacing w:line="360" w:lineRule="auto"/>
        <w:jc w:val="center"/>
        <w:textAlignment w:val="baseline"/>
        <w:outlineLvl w:val="3"/>
        <w:rPr>
          <w:rFonts w:ascii="宋体" w:hAnsi="宋体" w:eastAsia="宋体" w:cs="Times New Roman"/>
          <w:kern w:val="0"/>
          <w:sz w:val="24"/>
          <w:szCs w:val="20"/>
        </w:rPr>
      </w:pPr>
      <w:r>
        <w:rPr>
          <w:rFonts w:hint="eastAsia" w:ascii="宋体" w:hAnsi="宋体" w:eastAsia="宋体" w:cs="Times New Roman"/>
          <w:b/>
          <w:bCs/>
          <w:kern w:val="0"/>
          <w:sz w:val="24"/>
          <w:szCs w:val="20"/>
        </w:rPr>
        <w:t>5.人员情况表</w:t>
      </w:r>
    </w:p>
    <w:tbl>
      <w:tblPr>
        <w:tblStyle w:val="16"/>
        <w:tblW w:w="9088" w:type="dxa"/>
        <w:tblInd w:w="92" w:type="dxa"/>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Layout w:type="fixed"/>
        <w:tblCellMar>
          <w:top w:w="0" w:type="dxa"/>
          <w:left w:w="108" w:type="dxa"/>
          <w:bottom w:w="0" w:type="dxa"/>
          <w:right w:w="108" w:type="dxa"/>
        </w:tblCellMar>
      </w:tblPr>
      <w:tblGrid>
        <w:gridCol w:w="867"/>
        <w:gridCol w:w="1276"/>
        <w:gridCol w:w="1559"/>
        <w:gridCol w:w="2126"/>
        <w:gridCol w:w="3260"/>
      </w:tblGrid>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c>
          <w:tcPr>
            <w:tcW w:w="867" w:type="dxa"/>
            <w:tcBorders>
              <w:top w:val="double" w:color="auto" w:sz="4" w:space="0"/>
              <w:left w:val="double" w:color="auto" w:sz="4" w:space="0"/>
              <w:bottom w:val="double" w:color="auto" w:sz="4" w:space="0"/>
              <w:right w:val="double" w:color="auto" w:sz="4" w:space="0"/>
            </w:tcBorders>
            <w:vAlign w:val="center"/>
          </w:tcPr>
          <w:p>
            <w:pPr>
              <w:spacing w:afterLines="25" w:line="300" w:lineRule="auto"/>
              <w:jc w:val="center"/>
              <w:rPr>
                <w:rFonts w:ascii="宋体" w:hAnsi="宋体" w:eastAsia="宋体" w:cs="Arial"/>
                <w:b/>
                <w:sz w:val="24"/>
                <w:szCs w:val="24"/>
              </w:rPr>
            </w:pPr>
            <w:r>
              <w:rPr>
                <w:rFonts w:hint="eastAsia" w:ascii="宋体" w:hAnsi="宋体" w:eastAsia="宋体" w:cs="Arial"/>
                <w:b/>
                <w:sz w:val="24"/>
                <w:szCs w:val="24"/>
              </w:rPr>
              <w:t>序号</w:t>
            </w:r>
          </w:p>
        </w:tc>
        <w:tc>
          <w:tcPr>
            <w:tcW w:w="1276" w:type="dxa"/>
            <w:tcBorders>
              <w:top w:val="double" w:color="auto" w:sz="4" w:space="0"/>
              <w:left w:val="double" w:color="auto" w:sz="4" w:space="0"/>
              <w:bottom w:val="double" w:color="auto" w:sz="4" w:space="0"/>
              <w:right w:val="double" w:color="auto" w:sz="4" w:space="0"/>
            </w:tcBorders>
            <w:vAlign w:val="center"/>
          </w:tcPr>
          <w:p>
            <w:pPr>
              <w:spacing w:afterLines="25" w:line="300" w:lineRule="auto"/>
              <w:jc w:val="center"/>
              <w:rPr>
                <w:rFonts w:ascii="宋体" w:hAnsi="宋体" w:eastAsia="宋体" w:cs="Arial"/>
                <w:b/>
                <w:sz w:val="24"/>
                <w:szCs w:val="24"/>
              </w:rPr>
            </w:pPr>
            <w:r>
              <w:rPr>
                <w:rFonts w:hint="eastAsia" w:ascii="宋体" w:hAnsi="宋体" w:eastAsia="宋体" w:cs="Arial"/>
                <w:b/>
                <w:sz w:val="24"/>
                <w:szCs w:val="24"/>
              </w:rPr>
              <w:t>职务</w:t>
            </w:r>
          </w:p>
        </w:tc>
        <w:tc>
          <w:tcPr>
            <w:tcW w:w="1559" w:type="dxa"/>
            <w:tcBorders>
              <w:top w:val="double" w:color="auto" w:sz="4" w:space="0"/>
              <w:left w:val="double" w:color="auto" w:sz="4" w:space="0"/>
              <w:bottom w:val="double" w:color="auto" w:sz="4" w:space="0"/>
              <w:right w:val="double" w:color="auto" w:sz="4" w:space="0"/>
            </w:tcBorders>
            <w:vAlign w:val="center"/>
          </w:tcPr>
          <w:p>
            <w:pPr>
              <w:spacing w:afterLines="25" w:line="300" w:lineRule="auto"/>
              <w:jc w:val="center"/>
              <w:rPr>
                <w:rFonts w:ascii="宋体" w:hAnsi="宋体" w:eastAsia="宋体" w:cs="Arial"/>
                <w:b/>
                <w:sz w:val="24"/>
                <w:szCs w:val="24"/>
              </w:rPr>
            </w:pPr>
            <w:r>
              <w:rPr>
                <w:rFonts w:hint="eastAsia" w:ascii="宋体" w:hAnsi="宋体" w:eastAsia="宋体" w:cs="Arial"/>
                <w:b/>
                <w:sz w:val="24"/>
                <w:szCs w:val="24"/>
              </w:rPr>
              <w:t>姓名</w:t>
            </w:r>
          </w:p>
        </w:tc>
        <w:tc>
          <w:tcPr>
            <w:tcW w:w="2126" w:type="dxa"/>
            <w:tcBorders>
              <w:top w:val="double" w:color="auto" w:sz="4" w:space="0"/>
              <w:left w:val="double" w:color="auto" w:sz="4" w:space="0"/>
              <w:bottom w:val="double" w:color="auto" w:sz="4" w:space="0"/>
              <w:right w:val="double" w:color="auto" w:sz="4" w:space="0"/>
            </w:tcBorders>
            <w:vAlign w:val="center"/>
          </w:tcPr>
          <w:p>
            <w:pPr>
              <w:spacing w:afterLines="25" w:line="300" w:lineRule="auto"/>
              <w:jc w:val="center"/>
              <w:rPr>
                <w:rFonts w:ascii="宋体" w:hAnsi="宋体" w:eastAsia="宋体" w:cs="Arial"/>
                <w:b/>
                <w:sz w:val="24"/>
                <w:szCs w:val="24"/>
              </w:rPr>
            </w:pPr>
            <w:r>
              <w:rPr>
                <w:rFonts w:hint="eastAsia" w:ascii="宋体" w:hAnsi="宋体" w:eastAsia="宋体" w:cs="Arial"/>
                <w:b/>
                <w:sz w:val="24"/>
                <w:szCs w:val="24"/>
              </w:rPr>
              <w:t>相关证书</w:t>
            </w:r>
          </w:p>
        </w:tc>
        <w:tc>
          <w:tcPr>
            <w:tcW w:w="3260" w:type="dxa"/>
            <w:tcBorders>
              <w:top w:val="double" w:color="auto" w:sz="4" w:space="0"/>
              <w:left w:val="double" w:color="auto" w:sz="4" w:space="0"/>
              <w:bottom w:val="double" w:color="auto" w:sz="4" w:space="0"/>
              <w:right w:val="double" w:color="auto" w:sz="4" w:space="0"/>
            </w:tcBorders>
            <w:vAlign w:val="center"/>
          </w:tcPr>
          <w:p>
            <w:pPr>
              <w:spacing w:afterLines="25" w:line="300" w:lineRule="auto"/>
              <w:jc w:val="center"/>
              <w:rPr>
                <w:rFonts w:ascii="宋体" w:hAnsi="宋体" w:eastAsia="宋体" w:cs="Arial"/>
                <w:b/>
                <w:sz w:val="24"/>
                <w:szCs w:val="24"/>
              </w:rPr>
            </w:pPr>
            <w:r>
              <w:rPr>
                <w:rFonts w:hint="eastAsia" w:ascii="宋体" w:hAnsi="宋体" w:eastAsia="宋体" w:cs="Arial"/>
                <w:b/>
                <w:sz w:val="24"/>
                <w:szCs w:val="24"/>
              </w:rPr>
              <w:t>相关经验</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320" w:hRule="atLeast"/>
        </w:trPr>
        <w:tc>
          <w:tcPr>
            <w:tcW w:w="867" w:type="dxa"/>
            <w:tcBorders>
              <w:top w:val="double" w:color="auto" w:sz="4" w:space="0"/>
              <w:left w:val="double" w:color="auto" w:sz="4" w:space="0"/>
              <w:bottom w:val="double" w:color="auto" w:sz="4" w:space="0"/>
              <w:right w:val="double" w:color="auto" w:sz="4" w:space="0"/>
            </w:tcBorders>
          </w:tcPr>
          <w:p>
            <w:pPr>
              <w:spacing w:afterLines="25" w:line="300" w:lineRule="auto"/>
              <w:rPr>
                <w:rFonts w:ascii="宋体" w:hAnsi="宋体" w:eastAsia="宋体" w:cs="Arial"/>
                <w:sz w:val="24"/>
                <w:szCs w:val="24"/>
              </w:rPr>
            </w:pPr>
          </w:p>
        </w:tc>
        <w:tc>
          <w:tcPr>
            <w:tcW w:w="1276" w:type="dxa"/>
            <w:tcBorders>
              <w:top w:val="double" w:color="auto" w:sz="4" w:space="0"/>
              <w:left w:val="double" w:color="auto" w:sz="4" w:space="0"/>
              <w:bottom w:val="double" w:color="auto" w:sz="4" w:space="0"/>
              <w:right w:val="double" w:color="auto" w:sz="4" w:space="0"/>
            </w:tcBorders>
          </w:tcPr>
          <w:p>
            <w:pPr>
              <w:spacing w:afterLines="25" w:line="300" w:lineRule="auto"/>
              <w:rPr>
                <w:rFonts w:ascii="宋体" w:hAnsi="宋体" w:eastAsia="宋体" w:cs="Arial"/>
                <w:sz w:val="24"/>
                <w:szCs w:val="24"/>
              </w:rPr>
            </w:pPr>
          </w:p>
        </w:tc>
        <w:tc>
          <w:tcPr>
            <w:tcW w:w="1559" w:type="dxa"/>
            <w:tcBorders>
              <w:top w:val="double" w:color="auto" w:sz="4" w:space="0"/>
              <w:left w:val="double" w:color="auto" w:sz="4" w:space="0"/>
              <w:bottom w:val="double" w:color="auto" w:sz="4" w:space="0"/>
              <w:right w:val="double" w:color="auto" w:sz="4" w:space="0"/>
            </w:tcBorders>
          </w:tcPr>
          <w:p>
            <w:pPr>
              <w:spacing w:afterLines="25" w:line="300" w:lineRule="auto"/>
              <w:rPr>
                <w:rFonts w:ascii="宋体" w:hAnsi="宋体" w:eastAsia="宋体" w:cs="Arial"/>
                <w:sz w:val="24"/>
                <w:szCs w:val="24"/>
              </w:rPr>
            </w:pPr>
          </w:p>
        </w:tc>
        <w:tc>
          <w:tcPr>
            <w:tcW w:w="2126" w:type="dxa"/>
            <w:tcBorders>
              <w:top w:val="double" w:color="auto" w:sz="4" w:space="0"/>
              <w:left w:val="double" w:color="auto" w:sz="4" w:space="0"/>
              <w:bottom w:val="double" w:color="auto" w:sz="4" w:space="0"/>
              <w:right w:val="double" w:color="auto" w:sz="4" w:space="0"/>
            </w:tcBorders>
          </w:tcPr>
          <w:p>
            <w:pPr>
              <w:spacing w:afterLines="25" w:line="300" w:lineRule="auto"/>
              <w:rPr>
                <w:rFonts w:ascii="宋体" w:hAnsi="宋体" w:eastAsia="宋体" w:cs="Arial"/>
                <w:sz w:val="24"/>
                <w:szCs w:val="24"/>
              </w:rPr>
            </w:pPr>
          </w:p>
        </w:tc>
        <w:tc>
          <w:tcPr>
            <w:tcW w:w="3260" w:type="dxa"/>
            <w:tcBorders>
              <w:top w:val="double" w:color="auto" w:sz="4" w:space="0"/>
              <w:left w:val="double" w:color="auto" w:sz="4" w:space="0"/>
              <w:bottom w:val="double" w:color="auto" w:sz="4" w:space="0"/>
              <w:right w:val="double" w:color="auto" w:sz="4" w:space="0"/>
            </w:tcBorders>
          </w:tcPr>
          <w:p>
            <w:pPr>
              <w:spacing w:afterLines="25" w:line="300" w:lineRule="auto"/>
              <w:rPr>
                <w:rFonts w:ascii="宋体" w:hAnsi="宋体" w:eastAsia="宋体" w:cs="Arial"/>
                <w:sz w:val="24"/>
                <w:szCs w:val="24"/>
              </w:rPr>
            </w:pP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320" w:hRule="atLeast"/>
        </w:trPr>
        <w:tc>
          <w:tcPr>
            <w:tcW w:w="867" w:type="dxa"/>
            <w:tcBorders>
              <w:top w:val="double" w:color="auto" w:sz="4" w:space="0"/>
              <w:left w:val="double" w:color="auto" w:sz="4" w:space="0"/>
              <w:bottom w:val="double" w:color="auto" w:sz="4" w:space="0"/>
              <w:right w:val="double" w:color="auto" w:sz="4" w:space="0"/>
            </w:tcBorders>
          </w:tcPr>
          <w:p>
            <w:pPr>
              <w:spacing w:afterLines="25" w:line="300" w:lineRule="auto"/>
              <w:rPr>
                <w:rFonts w:ascii="宋体" w:hAnsi="宋体" w:eastAsia="宋体" w:cs="Arial"/>
                <w:sz w:val="24"/>
                <w:szCs w:val="24"/>
              </w:rPr>
            </w:pPr>
          </w:p>
        </w:tc>
        <w:tc>
          <w:tcPr>
            <w:tcW w:w="1276" w:type="dxa"/>
            <w:tcBorders>
              <w:top w:val="double" w:color="auto" w:sz="4" w:space="0"/>
              <w:left w:val="double" w:color="auto" w:sz="4" w:space="0"/>
              <w:bottom w:val="double" w:color="auto" w:sz="4" w:space="0"/>
              <w:right w:val="double" w:color="auto" w:sz="4" w:space="0"/>
            </w:tcBorders>
          </w:tcPr>
          <w:p>
            <w:pPr>
              <w:spacing w:afterLines="25" w:line="300" w:lineRule="auto"/>
              <w:rPr>
                <w:rFonts w:ascii="宋体" w:hAnsi="宋体" w:eastAsia="宋体" w:cs="Arial"/>
                <w:sz w:val="24"/>
                <w:szCs w:val="24"/>
              </w:rPr>
            </w:pPr>
          </w:p>
        </w:tc>
        <w:tc>
          <w:tcPr>
            <w:tcW w:w="1559" w:type="dxa"/>
            <w:tcBorders>
              <w:top w:val="double" w:color="auto" w:sz="4" w:space="0"/>
              <w:left w:val="double" w:color="auto" w:sz="4" w:space="0"/>
              <w:bottom w:val="double" w:color="auto" w:sz="4" w:space="0"/>
              <w:right w:val="double" w:color="auto" w:sz="4" w:space="0"/>
            </w:tcBorders>
          </w:tcPr>
          <w:p>
            <w:pPr>
              <w:spacing w:afterLines="25" w:line="300" w:lineRule="auto"/>
              <w:rPr>
                <w:rFonts w:ascii="宋体" w:hAnsi="宋体" w:eastAsia="宋体" w:cs="Arial"/>
                <w:sz w:val="24"/>
                <w:szCs w:val="24"/>
              </w:rPr>
            </w:pPr>
          </w:p>
        </w:tc>
        <w:tc>
          <w:tcPr>
            <w:tcW w:w="2126" w:type="dxa"/>
            <w:tcBorders>
              <w:top w:val="double" w:color="auto" w:sz="4" w:space="0"/>
              <w:left w:val="double" w:color="auto" w:sz="4" w:space="0"/>
              <w:bottom w:val="double" w:color="auto" w:sz="4" w:space="0"/>
              <w:right w:val="double" w:color="auto" w:sz="4" w:space="0"/>
            </w:tcBorders>
          </w:tcPr>
          <w:p>
            <w:pPr>
              <w:spacing w:afterLines="25" w:line="300" w:lineRule="auto"/>
              <w:rPr>
                <w:rFonts w:ascii="宋体" w:hAnsi="宋体" w:eastAsia="宋体" w:cs="Arial"/>
                <w:sz w:val="24"/>
                <w:szCs w:val="24"/>
              </w:rPr>
            </w:pPr>
          </w:p>
        </w:tc>
        <w:tc>
          <w:tcPr>
            <w:tcW w:w="3260" w:type="dxa"/>
            <w:tcBorders>
              <w:top w:val="double" w:color="auto" w:sz="4" w:space="0"/>
              <w:left w:val="double" w:color="auto" w:sz="4" w:space="0"/>
              <w:bottom w:val="double" w:color="auto" w:sz="4" w:space="0"/>
              <w:right w:val="double" w:color="auto" w:sz="4" w:space="0"/>
            </w:tcBorders>
          </w:tcPr>
          <w:p>
            <w:pPr>
              <w:spacing w:afterLines="25" w:line="300" w:lineRule="auto"/>
              <w:rPr>
                <w:rFonts w:ascii="宋体" w:hAnsi="宋体" w:eastAsia="宋体" w:cs="Arial"/>
                <w:sz w:val="24"/>
                <w:szCs w:val="24"/>
              </w:rPr>
            </w:pP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320" w:hRule="atLeast"/>
        </w:trPr>
        <w:tc>
          <w:tcPr>
            <w:tcW w:w="867" w:type="dxa"/>
            <w:tcBorders>
              <w:top w:val="double" w:color="auto" w:sz="4" w:space="0"/>
              <w:left w:val="double" w:color="auto" w:sz="4" w:space="0"/>
              <w:bottom w:val="double" w:color="auto" w:sz="4" w:space="0"/>
              <w:right w:val="double" w:color="auto" w:sz="4" w:space="0"/>
            </w:tcBorders>
          </w:tcPr>
          <w:p>
            <w:pPr>
              <w:spacing w:afterLines="25" w:line="300" w:lineRule="auto"/>
              <w:rPr>
                <w:rFonts w:ascii="宋体" w:hAnsi="宋体" w:eastAsia="宋体" w:cs="Arial"/>
                <w:sz w:val="24"/>
                <w:szCs w:val="24"/>
              </w:rPr>
            </w:pPr>
          </w:p>
        </w:tc>
        <w:tc>
          <w:tcPr>
            <w:tcW w:w="1276" w:type="dxa"/>
            <w:tcBorders>
              <w:top w:val="double" w:color="auto" w:sz="4" w:space="0"/>
              <w:left w:val="double" w:color="auto" w:sz="4" w:space="0"/>
              <w:bottom w:val="double" w:color="auto" w:sz="4" w:space="0"/>
              <w:right w:val="double" w:color="auto" w:sz="4" w:space="0"/>
            </w:tcBorders>
          </w:tcPr>
          <w:p>
            <w:pPr>
              <w:spacing w:afterLines="25" w:line="300" w:lineRule="auto"/>
              <w:rPr>
                <w:rFonts w:ascii="宋体" w:hAnsi="宋体" w:eastAsia="宋体" w:cs="Arial"/>
                <w:sz w:val="24"/>
                <w:szCs w:val="24"/>
              </w:rPr>
            </w:pPr>
          </w:p>
        </w:tc>
        <w:tc>
          <w:tcPr>
            <w:tcW w:w="1559" w:type="dxa"/>
            <w:tcBorders>
              <w:top w:val="double" w:color="auto" w:sz="4" w:space="0"/>
              <w:left w:val="double" w:color="auto" w:sz="4" w:space="0"/>
              <w:bottom w:val="double" w:color="auto" w:sz="4" w:space="0"/>
              <w:right w:val="double" w:color="auto" w:sz="4" w:space="0"/>
            </w:tcBorders>
          </w:tcPr>
          <w:p>
            <w:pPr>
              <w:spacing w:afterLines="25" w:line="300" w:lineRule="auto"/>
              <w:rPr>
                <w:rFonts w:ascii="宋体" w:hAnsi="宋体" w:eastAsia="宋体" w:cs="Arial"/>
                <w:sz w:val="24"/>
                <w:szCs w:val="24"/>
              </w:rPr>
            </w:pPr>
          </w:p>
        </w:tc>
        <w:tc>
          <w:tcPr>
            <w:tcW w:w="2126" w:type="dxa"/>
            <w:tcBorders>
              <w:top w:val="double" w:color="auto" w:sz="4" w:space="0"/>
              <w:left w:val="double" w:color="auto" w:sz="4" w:space="0"/>
              <w:bottom w:val="double" w:color="auto" w:sz="4" w:space="0"/>
              <w:right w:val="double" w:color="auto" w:sz="4" w:space="0"/>
            </w:tcBorders>
          </w:tcPr>
          <w:p>
            <w:pPr>
              <w:spacing w:afterLines="25" w:line="300" w:lineRule="auto"/>
              <w:rPr>
                <w:rFonts w:ascii="宋体" w:hAnsi="宋体" w:eastAsia="宋体" w:cs="Arial"/>
                <w:sz w:val="24"/>
                <w:szCs w:val="24"/>
              </w:rPr>
            </w:pPr>
          </w:p>
        </w:tc>
        <w:tc>
          <w:tcPr>
            <w:tcW w:w="3260" w:type="dxa"/>
            <w:tcBorders>
              <w:top w:val="double" w:color="auto" w:sz="4" w:space="0"/>
              <w:left w:val="double" w:color="auto" w:sz="4" w:space="0"/>
              <w:bottom w:val="double" w:color="auto" w:sz="4" w:space="0"/>
              <w:right w:val="double" w:color="auto" w:sz="4" w:space="0"/>
            </w:tcBorders>
          </w:tcPr>
          <w:p>
            <w:pPr>
              <w:spacing w:afterLines="25" w:line="300" w:lineRule="auto"/>
              <w:rPr>
                <w:rFonts w:ascii="宋体" w:hAnsi="宋体" w:eastAsia="宋体" w:cs="Arial"/>
                <w:sz w:val="24"/>
                <w:szCs w:val="24"/>
              </w:rPr>
            </w:pPr>
          </w:p>
        </w:tc>
      </w:tr>
    </w:tbl>
    <w:p>
      <w:pPr>
        <w:spacing w:afterLines="25" w:line="300" w:lineRule="auto"/>
        <w:rPr>
          <w:rFonts w:ascii="Arial" w:hAnsi="Arial" w:eastAsia="宋体" w:cs="Times New Roman"/>
          <w:sz w:val="24"/>
          <w:szCs w:val="24"/>
        </w:rPr>
      </w:pPr>
      <w:r>
        <w:rPr>
          <w:rFonts w:hint="eastAsia" w:ascii="Arial" w:hAnsi="Arial" w:eastAsia="宋体" w:cs="Times New Roman"/>
          <w:sz w:val="24"/>
          <w:szCs w:val="24"/>
        </w:rPr>
        <w:t>此表格式可根据评分准则要求进行调整，并将要求提供的证明材料扫描件附后。</w:t>
      </w:r>
    </w:p>
    <w:p>
      <w:pPr>
        <w:spacing w:afterLines="25" w:line="300" w:lineRule="auto"/>
        <w:rPr>
          <w:rFonts w:ascii="Arial" w:hAnsi="Arial" w:eastAsia="宋体" w:cs="Times New Roman"/>
          <w:sz w:val="24"/>
          <w:szCs w:val="24"/>
        </w:rPr>
      </w:pPr>
    </w:p>
    <w:p>
      <w:pPr>
        <w:spacing w:afterLines="25" w:line="300" w:lineRule="auto"/>
        <w:rPr>
          <w:rFonts w:ascii="Arial" w:hAnsi="Arial" w:eastAsia="宋体" w:cs="Times New Roman"/>
          <w:sz w:val="24"/>
          <w:szCs w:val="24"/>
        </w:rPr>
      </w:pPr>
    </w:p>
    <w:p>
      <w:pPr>
        <w:spacing w:afterLines="25" w:line="300" w:lineRule="auto"/>
        <w:rPr>
          <w:rFonts w:ascii="Arial" w:hAnsi="Arial" w:eastAsia="宋体" w:cs="Times New Roman"/>
          <w:sz w:val="24"/>
          <w:szCs w:val="24"/>
        </w:rPr>
      </w:pPr>
    </w:p>
    <w:p>
      <w:pPr>
        <w:spacing w:afterLines="25" w:line="300" w:lineRule="auto"/>
        <w:rPr>
          <w:rFonts w:ascii="Arial" w:hAnsi="Arial" w:eastAsia="宋体" w:cs="Times New Roman"/>
          <w:sz w:val="24"/>
          <w:szCs w:val="24"/>
        </w:rPr>
      </w:pPr>
    </w:p>
    <w:p>
      <w:pPr>
        <w:spacing w:afterLines="25" w:line="300" w:lineRule="auto"/>
        <w:rPr>
          <w:rFonts w:ascii="Arial" w:hAnsi="Arial" w:eastAsia="宋体" w:cs="Times New Roman"/>
          <w:sz w:val="24"/>
          <w:szCs w:val="24"/>
        </w:rPr>
      </w:pPr>
    </w:p>
    <w:p>
      <w:pPr>
        <w:spacing w:afterLines="25" w:line="300" w:lineRule="auto"/>
        <w:rPr>
          <w:rFonts w:ascii="Arial" w:hAnsi="Arial" w:eastAsia="宋体" w:cs="Times New Roman"/>
          <w:sz w:val="24"/>
          <w:szCs w:val="24"/>
        </w:rPr>
      </w:pPr>
    </w:p>
    <w:p>
      <w:pPr>
        <w:spacing w:afterLines="25" w:line="300" w:lineRule="auto"/>
        <w:rPr>
          <w:rFonts w:ascii="Arial" w:hAnsi="Arial" w:eastAsia="宋体" w:cs="Times New Roman"/>
          <w:sz w:val="24"/>
          <w:szCs w:val="24"/>
        </w:rPr>
      </w:pPr>
    </w:p>
    <w:p>
      <w:pPr>
        <w:spacing w:afterLines="25" w:line="300" w:lineRule="auto"/>
        <w:rPr>
          <w:rFonts w:ascii="Arial" w:hAnsi="Arial" w:eastAsia="宋体" w:cs="Times New Roman"/>
          <w:sz w:val="24"/>
          <w:szCs w:val="24"/>
        </w:rPr>
      </w:pPr>
    </w:p>
    <w:p>
      <w:pPr>
        <w:spacing w:afterLines="25" w:line="300" w:lineRule="auto"/>
        <w:rPr>
          <w:rFonts w:ascii="Arial" w:hAnsi="Arial" w:eastAsia="宋体" w:cs="Times New Roman"/>
          <w:sz w:val="24"/>
          <w:szCs w:val="24"/>
        </w:rPr>
      </w:pPr>
    </w:p>
    <w:p>
      <w:pPr>
        <w:spacing w:afterLines="25" w:line="300" w:lineRule="auto"/>
        <w:rPr>
          <w:rFonts w:ascii="Arial" w:hAnsi="Arial" w:eastAsia="宋体" w:cs="Times New Roman"/>
          <w:sz w:val="24"/>
          <w:szCs w:val="24"/>
        </w:rPr>
      </w:pPr>
    </w:p>
    <w:p>
      <w:pPr>
        <w:spacing w:afterLines="25" w:line="300" w:lineRule="auto"/>
        <w:rPr>
          <w:rFonts w:ascii="Arial" w:hAnsi="Arial" w:eastAsia="宋体" w:cs="Times New Roman"/>
          <w:sz w:val="24"/>
          <w:szCs w:val="24"/>
        </w:rPr>
      </w:pPr>
    </w:p>
    <w:p>
      <w:pPr>
        <w:spacing w:afterLines="25" w:line="300" w:lineRule="auto"/>
        <w:rPr>
          <w:rFonts w:ascii="Arial" w:hAnsi="Arial" w:eastAsia="宋体" w:cs="Times New Roman"/>
          <w:sz w:val="24"/>
          <w:szCs w:val="24"/>
        </w:rPr>
      </w:pPr>
    </w:p>
    <w:p>
      <w:pPr>
        <w:spacing w:afterLines="25" w:line="300" w:lineRule="auto"/>
        <w:rPr>
          <w:rFonts w:ascii="Arial" w:hAnsi="Arial" w:eastAsia="宋体" w:cs="Times New Roman"/>
          <w:sz w:val="24"/>
          <w:szCs w:val="24"/>
        </w:rPr>
      </w:pPr>
    </w:p>
    <w:p>
      <w:pPr>
        <w:spacing w:afterLines="25" w:line="300" w:lineRule="auto"/>
        <w:rPr>
          <w:rFonts w:ascii="Arial" w:hAnsi="Arial" w:eastAsia="宋体" w:cs="Times New Roman"/>
          <w:sz w:val="24"/>
          <w:szCs w:val="24"/>
        </w:rPr>
      </w:pPr>
    </w:p>
    <w:p>
      <w:pPr>
        <w:spacing w:afterLines="25" w:line="300" w:lineRule="auto"/>
        <w:rPr>
          <w:rFonts w:ascii="Arial" w:hAnsi="Arial" w:eastAsia="宋体" w:cs="Times New Roman"/>
          <w:sz w:val="24"/>
          <w:szCs w:val="24"/>
        </w:rPr>
      </w:pPr>
    </w:p>
    <w:p>
      <w:pPr>
        <w:spacing w:afterLines="25" w:line="300" w:lineRule="auto"/>
        <w:rPr>
          <w:rFonts w:ascii="Arial" w:hAnsi="Arial" w:eastAsia="宋体" w:cs="Times New Roman"/>
          <w:sz w:val="24"/>
          <w:szCs w:val="24"/>
        </w:rPr>
      </w:pPr>
    </w:p>
    <w:p>
      <w:pPr>
        <w:spacing w:afterLines="25" w:line="300" w:lineRule="auto"/>
        <w:rPr>
          <w:rFonts w:ascii="Arial" w:hAnsi="Arial" w:eastAsia="宋体" w:cs="Times New Roman"/>
          <w:sz w:val="24"/>
          <w:szCs w:val="24"/>
        </w:rPr>
      </w:pPr>
    </w:p>
    <w:p>
      <w:pPr>
        <w:spacing w:afterLines="25" w:line="300" w:lineRule="auto"/>
        <w:rPr>
          <w:rFonts w:ascii="Arial" w:hAnsi="Arial" w:eastAsia="宋体" w:cs="Times New Roman"/>
          <w:sz w:val="24"/>
          <w:szCs w:val="24"/>
        </w:rPr>
      </w:pPr>
    </w:p>
    <w:p>
      <w:pPr>
        <w:spacing w:afterLines="25" w:line="300" w:lineRule="auto"/>
        <w:rPr>
          <w:rFonts w:ascii="Arial" w:hAnsi="Arial" w:eastAsia="宋体" w:cs="Times New Roman"/>
          <w:sz w:val="24"/>
          <w:szCs w:val="24"/>
        </w:rPr>
      </w:pPr>
    </w:p>
    <w:p>
      <w:pPr>
        <w:spacing w:afterLines="25" w:line="300" w:lineRule="auto"/>
        <w:rPr>
          <w:rFonts w:ascii="Arial" w:hAnsi="Arial" w:eastAsia="宋体" w:cs="Times New Roman"/>
          <w:sz w:val="24"/>
          <w:szCs w:val="24"/>
        </w:rPr>
      </w:pPr>
    </w:p>
    <w:p>
      <w:pPr>
        <w:spacing w:afterLines="25" w:line="300" w:lineRule="auto"/>
        <w:rPr>
          <w:rFonts w:ascii="Arial" w:hAnsi="Arial" w:eastAsia="宋体" w:cs="Times New Roman"/>
          <w:sz w:val="24"/>
          <w:szCs w:val="24"/>
        </w:rPr>
      </w:pPr>
    </w:p>
    <w:p>
      <w:pPr>
        <w:spacing w:afterLines="25" w:line="300" w:lineRule="auto"/>
        <w:jc w:val="center"/>
        <w:rPr>
          <w:rFonts w:ascii="Arial" w:hAnsi="Arial" w:eastAsia="宋体" w:cs="Times New Roman"/>
          <w:sz w:val="24"/>
          <w:szCs w:val="24"/>
        </w:rPr>
      </w:pPr>
      <w:r>
        <w:rPr>
          <w:rFonts w:hint="eastAsia" w:ascii="Arial" w:hAnsi="Arial" w:eastAsia="宋体" w:cs="Times New Roman"/>
          <w:b/>
          <w:sz w:val="24"/>
          <w:szCs w:val="24"/>
        </w:rPr>
        <w:t>（本章未提供的招标要求的其他文件格式由供应商自拟）</w:t>
      </w:r>
    </w:p>
    <w:p>
      <w:pPr>
        <w:widowControl/>
        <w:jc w:val="left"/>
        <w:rPr>
          <w:rFonts w:ascii="宋体" w:hAnsi="宋体" w:eastAsia="宋体" w:cs="Times New Roman"/>
          <w:color w:val="FF0000"/>
          <w:sz w:val="32"/>
          <w:szCs w:val="32"/>
        </w:rPr>
      </w:pPr>
    </w:p>
    <w:p>
      <w:pPr>
        <w:keepNext/>
        <w:keepLines/>
        <w:adjustRightInd w:val="0"/>
        <w:spacing w:before="260" w:after="260"/>
        <w:jc w:val="center"/>
        <w:textAlignment w:val="baseline"/>
        <w:outlineLvl w:val="1"/>
        <w:rPr>
          <w:rFonts w:ascii="宋体" w:hAnsi="宋体" w:eastAsia="宋体" w:cs="Times New Roman"/>
          <w:b/>
          <w:bCs/>
          <w:kern w:val="0"/>
          <w:sz w:val="28"/>
          <w:szCs w:val="28"/>
        </w:rPr>
      </w:pPr>
      <w:r>
        <w:rPr>
          <w:rFonts w:hint="eastAsia" w:ascii="宋体" w:hAnsi="宋体" w:eastAsia="宋体" w:cs="Times New Roman"/>
          <w:b/>
          <w:bCs/>
          <w:kern w:val="0"/>
          <w:sz w:val="28"/>
          <w:szCs w:val="28"/>
        </w:rPr>
        <w:t>第五章  合同条款及格式</w:t>
      </w:r>
    </w:p>
    <w:p>
      <w:pPr>
        <w:widowControl/>
        <w:jc w:val="center"/>
        <w:rPr>
          <w:rFonts w:ascii="宋体" w:hAnsi="宋体" w:eastAsia="黑体" w:cs="Times New Roman"/>
          <w:bCs/>
          <w:kern w:val="44"/>
          <w:sz w:val="28"/>
          <w:szCs w:val="44"/>
        </w:rPr>
      </w:pPr>
      <w:bookmarkStart w:id="24" w:name="_Hlk72574405"/>
      <w:r>
        <w:rPr>
          <w:rFonts w:hint="eastAsia"/>
          <w:b/>
          <w:sz w:val="24"/>
        </w:rPr>
        <w:t>（仅供参考，具体以项目需求及采购结果为准）</w:t>
      </w:r>
      <w:bookmarkEnd w:id="24"/>
    </w:p>
    <w:p>
      <w:pPr>
        <w:snapToGrid w:val="0"/>
        <w:spacing w:line="300" w:lineRule="auto"/>
        <w:jc w:val="center"/>
        <w:rPr>
          <w:rFonts w:ascii="仿宋" w:hAnsi="仿宋" w:eastAsia="仿宋" w:cs="Times New Roman"/>
          <w:sz w:val="28"/>
          <w:szCs w:val="28"/>
        </w:rPr>
      </w:pPr>
    </w:p>
    <w:p>
      <w:pPr>
        <w:rPr>
          <w:rFonts w:ascii="宋体" w:hAnsi="宋体" w:eastAsia="宋体" w:cs="Times New Roman"/>
          <w:b/>
          <w:bCs/>
          <w:sz w:val="24"/>
          <w:szCs w:val="24"/>
        </w:rPr>
      </w:pPr>
      <w:r>
        <w:rPr>
          <w:rFonts w:hint="eastAsia" w:ascii="宋体" w:hAnsi="宋体" w:eastAsia="宋体" w:cs="Times New Roman"/>
          <w:b/>
          <w:bCs/>
          <w:sz w:val="24"/>
          <w:szCs w:val="24"/>
        </w:rPr>
        <w:t>甲方：</w:t>
      </w:r>
    </w:p>
    <w:p>
      <w:pPr>
        <w:rPr>
          <w:rFonts w:ascii="宋体" w:hAnsi="宋体" w:eastAsia="宋体" w:cs="Times New Roman"/>
          <w:sz w:val="24"/>
          <w:szCs w:val="24"/>
        </w:rPr>
      </w:pPr>
      <w:r>
        <w:rPr>
          <w:rFonts w:hint="eastAsia" w:ascii="宋体" w:hAnsi="宋体" w:eastAsia="宋体" w:cs="Times New Roman"/>
          <w:sz w:val="24"/>
          <w:szCs w:val="24"/>
        </w:rPr>
        <w:t>地址：</w:t>
      </w:r>
    </w:p>
    <w:p>
      <w:pPr>
        <w:rPr>
          <w:rFonts w:ascii="宋体" w:hAnsi="宋体" w:eastAsia="宋体" w:cs="Times New Roman"/>
          <w:sz w:val="24"/>
          <w:szCs w:val="24"/>
        </w:rPr>
      </w:pPr>
      <w:r>
        <w:rPr>
          <w:rFonts w:hint="eastAsia" w:ascii="宋体" w:hAnsi="宋体" w:eastAsia="宋体" w:cs="Times New Roman"/>
          <w:sz w:val="24"/>
          <w:szCs w:val="24"/>
        </w:rPr>
        <w:t>联系人：</w:t>
      </w:r>
    </w:p>
    <w:p>
      <w:pPr>
        <w:rPr>
          <w:rFonts w:ascii="宋体" w:hAnsi="宋体" w:eastAsia="宋体" w:cs="Times New Roman"/>
          <w:b/>
          <w:bCs/>
          <w:sz w:val="24"/>
          <w:szCs w:val="24"/>
        </w:rPr>
      </w:pPr>
      <w:r>
        <w:rPr>
          <w:rFonts w:hint="eastAsia" w:ascii="宋体" w:hAnsi="宋体" w:eastAsia="宋体" w:cs="Times New Roman"/>
          <w:sz w:val="24"/>
          <w:szCs w:val="24"/>
        </w:rPr>
        <w:t>联系电话：</w:t>
      </w:r>
    </w:p>
    <w:p>
      <w:pPr>
        <w:rPr>
          <w:rFonts w:ascii="宋体" w:hAnsi="宋体" w:eastAsia="宋体" w:cs="Times New Roman"/>
          <w:b/>
          <w:bCs/>
          <w:sz w:val="24"/>
          <w:szCs w:val="24"/>
        </w:rPr>
      </w:pPr>
    </w:p>
    <w:p>
      <w:pPr>
        <w:rPr>
          <w:rFonts w:ascii="宋体" w:hAnsi="宋体" w:eastAsia="宋体" w:cs="Times New Roman"/>
          <w:b/>
          <w:bCs/>
          <w:sz w:val="24"/>
          <w:szCs w:val="24"/>
        </w:rPr>
      </w:pPr>
      <w:r>
        <w:rPr>
          <w:rFonts w:hint="eastAsia" w:ascii="宋体" w:hAnsi="宋体" w:eastAsia="宋体" w:cs="Times New Roman"/>
          <w:b/>
          <w:bCs/>
          <w:sz w:val="24"/>
          <w:szCs w:val="24"/>
        </w:rPr>
        <w:t>乙方：</w:t>
      </w:r>
    </w:p>
    <w:p>
      <w:pPr>
        <w:rPr>
          <w:rFonts w:ascii="宋体" w:hAnsi="宋体" w:eastAsia="宋体" w:cs="Times New Roman"/>
          <w:sz w:val="24"/>
          <w:szCs w:val="24"/>
        </w:rPr>
      </w:pPr>
      <w:r>
        <w:rPr>
          <w:rFonts w:hint="eastAsia" w:ascii="宋体" w:hAnsi="宋体" w:eastAsia="宋体" w:cs="Times New Roman"/>
          <w:sz w:val="24"/>
          <w:szCs w:val="24"/>
        </w:rPr>
        <w:t>地址：</w:t>
      </w:r>
    </w:p>
    <w:p>
      <w:pPr>
        <w:rPr>
          <w:rFonts w:ascii="宋体" w:hAnsi="宋体" w:eastAsia="宋体" w:cs="Times New Roman"/>
          <w:sz w:val="24"/>
          <w:szCs w:val="24"/>
        </w:rPr>
      </w:pPr>
      <w:r>
        <w:rPr>
          <w:rFonts w:hint="eastAsia" w:ascii="宋体" w:hAnsi="宋体" w:eastAsia="宋体" w:cs="Times New Roman"/>
          <w:sz w:val="24"/>
          <w:szCs w:val="24"/>
        </w:rPr>
        <w:t>联系人：</w:t>
      </w:r>
    </w:p>
    <w:p>
      <w:pPr>
        <w:rPr>
          <w:rFonts w:ascii="宋体" w:hAnsi="宋体" w:eastAsia="宋体" w:cs="Times New Roman"/>
          <w:b/>
          <w:bCs/>
          <w:sz w:val="24"/>
          <w:szCs w:val="24"/>
        </w:rPr>
      </w:pPr>
      <w:r>
        <w:rPr>
          <w:rFonts w:hint="eastAsia" w:ascii="宋体" w:hAnsi="宋体" w:eastAsia="宋体" w:cs="Times New Roman"/>
          <w:sz w:val="24"/>
          <w:szCs w:val="24"/>
        </w:rPr>
        <w:t>联系电话：</w:t>
      </w:r>
    </w:p>
    <w:p>
      <w:pPr>
        <w:rPr>
          <w:rFonts w:ascii="宋体" w:hAnsi="宋体" w:eastAsia="宋体" w:cs="Times New Roman"/>
          <w:sz w:val="24"/>
          <w:szCs w:val="24"/>
        </w:rPr>
      </w:pPr>
    </w:p>
    <w:p>
      <w:pPr>
        <w:rPr>
          <w:rFonts w:ascii="宋体" w:hAnsi="宋体" w:eastAsia="宋体" w:cs="Times New Roman"/>
          <w:sz w:val="24"/>
          <w:szCs w:val="24"/>
        </w:rPr>
      </w:pPr>
    </w:p>
    <w:p>
      <w:pPr>
        <w:ind w:firstLine="480" w:firstLineChars="200"/>
        <w:rPr>
          <w:rFonts w:ascii="宋体" w:hAnsi="宋体" w:eastAsia="宋体" w:cs="Times New Roman"/>
          <w:sz w:val="24"/>
          <w:szCs w:val="24"/>
        </w:rPr>
      </w:pPr>
      <w:r>
        <w:rPr>
          <w:rFonts w:hint="eastAsia" w:ascii="宋体" w:hAnsi="宋体" w:eastAsia="宋体" w:cs="Times New Roman"/>
          <w:sz w:val="24"/>
          <w:szCs w:val="24"/>
        </w:rPr>
        <w:t>根据深圳公共资源交易中心（深圳交易集团有限公司***分公司）***号项目结果，***单位为中标人。按照《中华人民共和国民法典》（第三编 合同）》和《深圳经济特区政府采购条例》，经深圳市（以下简称甲方）和单位（以下简称乙方）协商，就甲方委托乙方承担</w:t>
      </w:r>
      <w:r>
        <w:rPr>
          <w:rFonts w:hint="eastAsia" w:ascii="宋体" w:hAnsi="宋体" w:eastAsia="宋体" w:cs="Times New Roman"/>
          <w:b/>
          <w:bCs/>
          <w:kern w:val="0"/>
          <w:sz w:val="24"/>
          <w:szCs w:val="24"/>
          <w:u w:val="single"/>
        </w:rPr>
        <w:t xml:space="preserve">                      项目</w:t>
      </w:r>
      <w:r>
        <w:rPr>
          <w:rFonts w:hint="eastAsia" w:ascii="宋体" w:hAnsi="宋体" w:eastAsia="宋体" w:cs="Times New Roman"/>
          <w:sz w:val="24"/>
          <w:szCs w:val="24"/>
        </w:rPr>
        <w:t>，达成以下合同条款：</w:t>
      </w:r>
    </w:p>
    <w:p>
      <w:pPr>
        <w:ind w:firstLine="482" w:firstLineChars="200"/>
        <w:rPr>
          <w:rFonts w:ascii="宋体" w:hAnsi="宋体" w:eastAsia="宋体" w:cs="Times New Roman"/>
          <w:b/>
          <w:bCs/>
          <w:sz w:val="24"/>
          <w:szCs w:val="24"/>
        </w:rPr>
      </w:pPr>
      <w:r>
        <w:rPr>
          <w:rFonts w:hint="eastAsia" w:ascii="宋体" w:hAnsi="宋体" w:eastAsia="宋体" w:cs="Times New Roman"/>
          <w:b/>
          <w:bCs/>
          <w:sz w:val="24"/>
          <w:szCs w:val="24"/>
        </w:rPr>
        <w:t>第一条 项目概况</w:t>
      </w:r>
    </w:p>
    <w:p>
      <w:pPr>
        <w:ind w:firstLine="480" w:firstLineChars="200"/>
        <w:rPr>
          <w:rFonts w:ascii="宋体" w:hAnsi="宋体" w:eastAsia="宋体" w:cs="Times New Roman"/>
          <w:sz w:val="24"/>
          <w:szCs w:val="24"/>
        </w:rPr>
      </w:pPr>
      <w:r>
        <w:rPr>
          <w:rFonts w:hint="eastAsia" w:ascii="宋体" w:hAnsi="宋体" w:eastAsia="宋体" w:cs="Times New Roman"/>
          <w:sz w:val="24"/>
          <w:szCs w:val="24"/>
        </w:rPr>
        <w:t xml:space="preserve">项目名称： </w:t>
      </w:r>
    </w:p>
    <w:p>
      <w:pPr>
        <w:ind w:firstLine="480" w:firstLineChars="200"/>
        <w:rPr>
          <w:rFonts w:ascii="宋体" w:hAnsi="宋体" w:eastAsia="宋体" w:cs="Times New Roman"/>
          <w:sz w:val="24"/>
          <w:szCs w:val="24"/>
        </w:rPr>
      </w:pPr>
      <w:r>
        <w:rPr>
          <w:rFonts w:hint="eastAsia" w:ascii="宋体" w:hAnsi="宋体" w:eastAsia="宋体" w:cs="Times New Roman"/>
          <w:sz w:val="24"/>
          <w:szCs w:val="24"/>
        </w:rPr>
        <w:t xml:space="preserve">项目内容： </w:t>
      </w:r>
    </w:p>
    <w:p>
      <w:pPr>
        <w:ind w:firstLine="480" w:firstLineChars="200"/>
        <w:rPr>
          <w:rFonts w:ascii="宋体" w:hAnsi="宋体" w:eastAsia="宋体" w:cs="Times New Roman"/>
          <w:sz w:val="24"/>
          <w:szCs w:val="24"/>
        </w:rPr>
      </w:pPr>
      <w:r>
        <w:rPr>
          <w:rFonts w:hint="eastAsia" w:ascii="宋体" w:hAnsi="宋体" w:eastAsia="宋体" w:cs="Times New Roman"/>
          <w:sz w:val="24"/>
          <w:szCs w:val="24"/>
        </w:rPr>
        <w:t xml:space="preserve">服务时间： </w:t>
      </w:r>
    </w:p>
    <w:p>
      <w:pPr>
        <w:ind w:firstLine="480" w:firstLineChars="200"/>
        <w:rPr>
          <w:rFonts w:ascii="宋体" w:hAnsi="宋体" w:eastAsia="宋体" w:cs="Times New Roman"/>
          <w:sz w:val="24"/>
          <w:szCs w:val="24"/>
        </w:rPr>
      </w:pPr>
      <w:r>
        <w:rPr>
          <w:rFonts w:hint="eastAsia" w:ascii="宋体" w:hAnsi="宋体" w:eastAsia="宋体" w:cs="Times New Roman"/>
          <w:sz w:val="24"/>
          <w:szCs w:val="24"/>
        </w:rPr>
        <w:t>合同价款：合同总价为元，含一切税、费。</w:t>
      </w:r>
      <w:r>
        <w:rPr>
          <w:rFonts w:ascii="宋体" w:hAnsi="宋体" w:eastAsia="宋体" w:cs="Times New Roman"/>
          <w:sz w:val="24"/>
          <w:szCs w:val="24"/>
        </w:rPr>
        <w:t>本合同总价包括</w:t>
      </w:r>
      <w:r>
        <w:rPr>
          <w:rFonts w:hint="eastAsia" w:ascii="宋体" w:hAnsi="宋体" w:eastAsia="宋体" w:cs="Times New Roman"/>
          <w:sz w:val="24"/>
          <w:szCs w:val="24"/>
        </w:rPr>
        <w:t>乙方为实施本项目***所需的设备仪器费、车辆租赁费、</w:t>
      </w:r>
      <w:r>
        <w:rPr>
          <w:rFonts w:ascii="宋体" w:hAnsi="宋体" w:eastAsia="宋体" w:cs="Times New Roman"/>
          <w:sz w:val="24"/>
          <w:szCs w:val="24"/>
        </w:rPr>
        <w:t>服务</w:t>
      </w:r>
      <w:r>
        <w:rPr>
          <w:rFonts w:hint="eastAsia" w:ascii="宋体" w:hAnsi="宋体" w:eastAsia="宋体" w:cs="Times New Roman"/>
          <w:sz w:val="24"/>
          <w:szCs w:val="24"/>
        </w:rPr>
        <w:t>和</w:t>
      </w:r>
      <w:r>
        <w:rPr>
          <w:rFonts w:ascii="宋体" w:hAnsi="宋体" w:eastAsia="宋体" w:cs="Times New Roman"/>
          <w:sz w:val="24"/>
          <w:szCs w:val="24"/>
        </w:rPr>
        <w:t>技术费用</w:t>
      </w:r>
      <w:r>
        <w:rPr>
          <w:rFonts w:hint="eastAsia" w:ascii="宋体" w:hAnsi="宋体" w:eastAsia="宋体" w:cs="Times New Roman"/>
          <w:sz w:val="24"/>
          <w:szCs w:val="24"/>
        </w:rPr>
        <w:t>等</w:t>
      </w:r>
      <w:r>
        <w:rPr>
          <w:rFonts w:ascii="宋体" w:hAnsi="宋体" w:eastAsia="宋体" w:cs="Times New Roman"/>
          <w:sz w:val="24"/>
          <w:szCs w:val="24"/>
        </w:rPr>
        <w:t>，为固定不变价格，且不随通货膨胀的影响而波动。合同总价包括</w:t>
      </w:r>
      <w:r>
        <w:rPr>
          <w:rFonts w:hint="eastAsia" w:ascii="宋体" w:hAnsi="宋体" w:eastAsia="宋体" w:cs="Times New Roman"/>
          <w:sz w:val="24"/>
          <w:szCs w:val="24"/>
        </w:rPr>
        <w:t>乙方</w:t>
      </w:r>
      <w:r>
        <w:rPr>
          <w:rFonts w:ascii="宋体" w:hAnsi="宋体" w:eastAsia="宋体" w:cs="Times New Roman"/>
          <w:sz w:val="24"/>
          <w:szCs w:val="24"/>
        </w:rPr>
        <w:t>履行本合同义务所发生的一切费用和支出和以各种方式寄送技术资料到</w:t>
      </w:r>
      <w:r>
        <w:rPr>
          <w:rFonts w:hint="eastAsia" w:ascii="宋体" w:hAnsi="宋体" w:eastAsia="宋体" w:cs="Times New Roman"/>
          <w:sz w:val="24"/>
          <w:szCs w:val="24"/>
        </w:rPr>
        <w:t>甲</w:t>
      </w:r>
      <w:r>
        <w:rPr>
          <w:rFonts w:ascii="宋体" w:hAnsi="宋体" w:eastAsia="宋体" w:cs="Times New Roman"/>
          <w:sz w:val="24"/>
          <w:szCs w:val="24"/>
        </w:rPr>
        <w:t>方办公室所发生的费用。</w:t>
      </w:r>
    </w:p>
    <w:p>
      <w:pPr>
        <w:ind w:firstLine="420"/>
        <w:rPr>
          <w:rFonts w:ascii="宋体" w:hAnsi="宋体" w:eastAsia="宋体" w:cs="Times New Roman"/>
          <w:sz w:val="24"/>
          <w:szCs w:val="24"/>
        </w:rPr>
      </w:pPr>
      <w:r>
        <w:rPr>
          <w:rFonts w:hint="eastAsia" w:ascii="宋体" w:hAnsi="宋体" w:eastAsia="宋体" w:cs="Times New Roman"/>
          <w:sz w:val="24"/>
          <w:szCs w:val="24"/>
        </w:rPr>
        <w:t>支付方式：分期支付。</w:t>
      </w:r>
    </w:p>
    <w:p>
      <w:pPr>
        <w:ind w:firstLine="482" w:firstLineChars="200"/>
        <w:rPr>
          <w:rFonts w:ascii="宋体" w:hAnsi="宋体" w:eastAsia="宋体" w:cs="Times New Roman"/>
          <w:b/>
          <w:bCs/>
          <w:sz w:val="24"/>
          <w:szCs w:val="24"/>
        </w:rPr>
      </w:pPr>
      <w:r>
        <w:rPr>
          <w:rFonts w:hint="eastAsia" w:ascii="宋体" w:hAnsi="宋体" w:eastAsia="宋体" w:cs="Times New Roman"/>
          <w:b/>
          <w:bCs/>
          <w:sz w:val="24"/>
          <w:szCs w:val="24"/>
        </w:rPr>
        <w:t>第二条  服务范围</w:t>
      </w:r>
    </w:p>
    <w:p>
      <w:pPr>
        <w:ind w:firstLine="480" w:firstLineChars="200"/>
        <w:rPr>
          <w:rFonts w:ascii="宋体" w:hAnsi="宋体" w:eastAsia="宋体" w:cs="Times New Roman"/>
          <w:sz w:val="24"/>
          <w:szCs w:val="24"/>
        </w:rPr>
      </w:pPr>
      <w:r>
        <w:rPr>
          <w:rFonts w:hint="eastAsia" w:ascii="宋体" w:hAnsi="宋体" w:eastAsia="宋体" w:cs="Times New Roman"/>
          <w:sz w:val="24"/>
          <w:szCs w:val="24"/>
        </w:rPr>
        <w:t xml:space="preserve">1、  </w:t>
      </w:r>
    </w:p>
    <w:p>
      <w:pPr>
        <w:ind w:firstLine="480" w:firstLineChars="200"/>
        <w:rPr>
          <w:rFonts w:ascii="宋体" w:hAnsi="宋体" w:eastAsia="宋体" w:cs="Times New Roman"/>
          <w:sz w:val="24"/>
          <w:szCs w:val="24"/>
        </w:rPr>
      </w:pPr>
      <w:r>
        <w:rPr>
          <w:rFonts w:hint="eastAsia" w:ascii="宋体" w:hAnsi="宋体" w:eastAsia="宋体" w:cs="Times New Roman"/>
          <w:sz w:val="24"/>
          <w:szCs w:val="24"/>
        </w:rPr>
        <w:t xml:space="preserve">2、  </w:t>
      </w:r>
    </w:p>
    <w:p>
      <w:pPr>
        <w:ind w:firstLine="480" w:firstLineChars="200"/>
        <w:rPr>
          <w:rFonts w:ascii="宋体" w:hAnsi="宋体" w:eastAsia="宋体" w:cs="Times New Roman"/>
          <w:sz w:val="24"/>
          <w:szCs w:val="24"/>
        </w:rPr>
      </w:pPr>
      <w:r>
        <w:rPr>
          <w:rFonts w:hint="eastAsia" w:ascii="宋体" w:hAnsi="宋体" w:eastAsia="宋体" w:cs="Times New Roman"/>
          <w:sz w:val="24"/>
          <w:szCs w:val="24"/>
        </w:rPr>
        <w:t xml:space="preserve">3、  </w:t>
      </w:r>
    </w:p>
    <w:p>
      <w:pPr>
        <w:ind w:firstLine="480" w:firstLineChars="200"/>
        <w:rPr>
          <w:rFonts w:ascii="宋体" w:hAnsi="宋体" w:eastAsia="宋体" w:cs="Times New Roman"/>
          <w:sz w:val="24"/>
          <w:szCs w:val="24"/>
        </w:rPr>
      </w:pPr>
      <w:r>
        <w:rPr>
          <w:rFonts w:hint="eastAsia" w:ascii="宋体" w:hAnsi="宋体" w:eastAsia="宋体" w:cs="Times New Roman"/>
          <w:sz w:val="24"/>
          <w:szCs w:val="24"/>
        </w:rPr>
        <w:t>4、 其他合同未明示的相关工作。</w:t>
      </w:r>
    </w:p>
    <w:p>
      <w:pPr>
        <w:ind w:firstLine="482" w:firstLineChars="200"/>
        <w:rPr>
          <w:rFonts w:ascii="宋体" w:hAnsi="宋体" w:eastAsia="宋体" w:cs="Times New Roman"/>
          <w:b/>
          <w:bCs/>
          <w:sz w:val="24"/>
          <w:szCs w:val="24"/>
        </w:rPr>
      </w:pPr>
      <w:r>
        <w:rPr>
          <w:rFonts w:hint="eastAsia" w:ascii="宋体" w:hAnsi="宋体" w:eastAsia="宋体" w:cs="Times New Roman"/>
          <w:b/>
          <w:bCs/>
          <w:sz w:val="24"/>
          <w:szCs w:val="24"/>
        </w:rPr>
        <w:t>第三条  时间要求及阶段成果</w:t>
      </w:r>
    </w:p>
    <w:p>
      <w:pPr>
        <w:ind w:firstLine="480" w:firstLineChars="200"/>
        <w:rPr>
          <w:rFonts w:ascii="宋体" w:hAnsi="宋体" w:eastAsia="宋体" w:cs="Times New Roman"/>
          <w:sz w:val="24"/>
          <w:szCs w:val="24"/>
        </w:rPr>
      </w:pPr>
      <w:r>
        <w:rPr>
          <w:rFonts w:hint="eastAsia" w:ascii="宋体" w:hAnsi="宋体" w:eastAsia="宋体" w:cs="Times New Roman"/>
          <w:sz w:val="24"/>
          <w:szCs w:val="24"/>
        </w:rPr>
        <w:t>1、合同签订天内完成项目实施的准备工作，包括工作大纲和试验细则的编制；</w:t>
      </w:r>
    </w:p>
    <w:p>
      <w:pPr>
        <w:ind w:firstLine="480" w:firstLineChars="200"/>
        <w:rPr>
          <w:rFonts w:ascii="宋体" w:hAnsi="宋体" w:eastAsia="宋体" w:cs="Times New Roman"/>
          <w:sz w:val="24"/>
          <w:szCs w:val="24"/>
        </w:rPr>
      </w:pPr>
      <w:r>
        <w:rPr>
          <w:rFonts w:hint="eastAsia" w:ascii="宋体" w:hAnsi="宋体" w:eastAsia="宋体" w:cs="Times New Roman"/>
          <w:sz w:val="24"/>
          <w:szCs w:val="24"/>
        </w:rPr>
        <w:t xml:space="preserve">2、 </w:t>
      </w:r>
    </w:p>
    <w:p>
      <w:pPr>
        <w:ind w:firstLine="480" w:firstLineChars="200"/>
        <w:rPr>
          <w:rFonts w:ascii="宋体" w:hAnsi="宋体" w:eastAsia="宋体" w:cs="Times New Roman"/>
          <w:sz w:val="24"/>
          <w:szCs w:val="24"/>
        </w:rPr>
      </w:pPr>
      <w:r>
        <w:rPr>
          <w:rFonts w:hint="eastAsia" w:ascii="宋体" w:hAnsi="宋体" w:eastAsia="宋体" w:cs="Times New Roman"/>
          <w:sz w:val="24"/>
          <w:szCs w:val="24"/>
        </w:rPr>
        <w:t>3、</w:t>
      </w:r>
    </w:p>
    <w:p>
      <w:pPr>
        <w:ind w:firstLine="480" w:firstLineChars="200"/>
        <w:rPr>
          <w:rFonts w:ascii="宋体" w:hAnsi="宋体" w:eastAsia="宋体" w:cs="Times New Roman"/>
          <w:sz w:val="24"/>
          <w:szCs w:val="24"/>
        </w:rPr>
      </w:pPr>
      <w:r>
        <w:rPr>
          <w:rFonts w:hint="eastAsia" w:ascii="宋体" w:hAnsi="宋体" w:eastAsia="宋体" w:cs="Times New Roman"/>
          <w:sz w:val="24"/>
          <w:szCs w:val="24"/>
        </w:rPr>
        <w:t>4、</w:t>
      </w:r>
    </w:p>
    <w:p>
      <w:pPr>
        <w:ind w:firstLine="482" w:firstLineChars="200"/>
        <w:rPr>
          <w:rFonts w:ascii="宋体" w:hAnsi="宋体" w:eastAsia="宋体" w:cs="Times New Roman"/>
          <w:b/>
          <w:bCs/>
          <w:sz w:val="24"/>
          <w:szCs w:val="24"/>
        </w:rPr>
      </w:pPr>
      <w:r>
        <w:rPr>
          <w:rFonts w:hint="eastAsia" w:ascii="宋体" w:hAnsi="宋体" w:eastAsia="宋体" w:cs="Times New Roman"/>
          <w:b/>
          <w:bCs/>
          <w:sz w:val="24"/>
          <w:szCs w:val="24"/>
        </w:rPr>
        <w:t>第四条  咨询服务资料归属</w:t>
      </w:r>
    </w:p>
    <w:p>
      <w:pPr>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1</w:t>
      </w:r>
      <w:r>
        <w:rPr>
          <w:rFonts w:hint="eastAsia" w:ascii="宋体" w:hAnsi="宋体" w:eastAsia="宋体" w:cs="Times New Roman"/>
          <w:sz w:val="24"/>
          <w:szCs w:val="24"/>
        </w:rPr>
        <w:t>、</w:t>
      </w:r>
      <w:r>
        <w:rPr>
          <w:rFonts w:ascii="宋体" w:hAnsi="宋体" w:eastAsia="宋体" w:cs="Times New Roman"/>
          <w:sz w:val="24"/>
          <w:szCs w:val="24"/>
        </w:rPr>
        <w:t>所有提交给</w:t>
      </w:r>
      <w:r>
        <w:rPr>
          <w:rFonts w:hint="eastAsia" w:ascii="宋体" w:hAnsi="宋体" w:eastAsia="宋体" w:cs="Times New Roman"/>
          <w:sz w:val="24"/>
          <w:szCs w:val="24"/>
        </w:rPr>
        <w:t>甲</w:t>
      </w:r>
      <w:r>
        <w:rPr>
          <w:rFonts w:ascii="宋体" w:hAnsi="宋体" w:eastAsia="宋体" w:cs="Times New Roman"/>
          <w:sz w:val="24"/>
          <w:szCs w:val="24"/>
        </w:rPr>
        <w:t>方的咨询服务</w:t>
      </w:r>
      <w:r>
        <w:rPr>
          <w:rFonts w:hint="eastAsia" w:ascii="宋体" w:hAnsi="宋体" w:eastAsia="宋体" w:cs="Times New Roman"/>
          <w:sz w:val="24"/>
          <w:szCs w:val="24"/>
        </w:rPr>
        <w:t>文件</w:t>
      </w:r>
      <w:r>
        <w:rPr>
          <w:rFonts w:ascii="宋体" w:hAnsi="宋体" w:eastAsia="宋体" w:cs="Times New Roman"/>
          <w:sz w:val="24"/>
          <w:szCs w:val="24"/>
        </w:rPr>
        <w:t>及相关的资料的最后文本，包括为履行技术咨询服务范围所编制的图纸、计划和证明资料等，都属于</w:t>
      </w:r>
      <w:r>
        <w:rPr>
          <w:rFonts w:hint="eastAsia" w:ascii="宋体" w:hAnsi="宋体" w:eastAsia="宋体" w:cs="Times New Roman"/>
          <w:sz w:val="24"/>
          <w:szCs w:val="24"/>
        </w:rPr>
        <w:t>甲</w:t>
      </w:r>
      <w:r>
        <w:rPr>
          <w:rFonts w:ascii="宋体" w:hAnsi="宋体" w:eastAsia="宋体" w:cs="Times New Roman"/>
          <w:sz w:val="24"/>
          <w:szCs w:val="24"/>
        </w:rPr>
        <w:t>方的财产，</w:t>
      </w:r>
      <w:r>
        <w:rPr>
          <w:rFonts w:hint="eastAsia" w:ascii="宋体" w:hAnsi="宋体" w:eastAsia="宋体" w:cs="Times New Roman"/>
          <w:sz w:val="24"/>
          <w:szCs w:val="24"/>
        </w:rPr>
        <w:t>乙</w:t>
      </w:r>
      <w:r>
        <w:rPr>
          <w:rFonts w:ascii="宋体" w:hAnsi="宋体" w:eastAsia="宋体" w:cs="Times New Roman"/>
          <w:sz w:val="24"/>
          <w:szCs w:val="24"/>
        </w:rPr>
        <w:t>方在提交给</w:t>
      </w:r>
      <w:r>
        <w:rPr>
          <w:rFonts w:hint="eastAsia" w:ascii="宋体" w:hAnsi="宋体" w:eastAsia="宋体" w:cs="Times New Roman"/>
          <w:sz w:val="24"/>
          <w:szCs w:val="24"/>
        </w:rPr>
        <w:t>甲</w:t>
      </w:r>
      <w:r>
        <w:rPr>
          <w:rFonts w:ascii="宋体" w:hAnsi="宋体" w:eastAsia="宋体" w:cs="Times New Roman"/>
          <w:sz w:val="24"/>
          <w:szCs w:val="24"/>
        </w:rPr>
        <w:t>方之前应将上述资料进行整理归类和编制索引</w:t>
      </w:r>
      <w:r>
        <w:rPr>
          <w:rFonts w:hint="eastAsia" w:ascii="宋体" w:hAnsi="宋体" w:eastAsia="宋体" w:cs="Times New Roman"/>
          <w:sz w:val="24"/>
          <w:szCs w:val="24"/>
        </w:rPr>
        <w:t>。</w:t>
      </w:r>
    </w:p>
    <w:p>
      <w:pPr>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2</w:t>
      </w:r>
      <w:r>
        <w:rPr>
          <w:rFonts w:hint="eastAsia" w:ascii="宋体" w:hAnsi="宋体" w:eastAsia="宋体" w:cs="Times New Roman"/>
          <w:sz w:val="24"/>
          <w:szCs w:val="24"/>
        </w:rPr>
        <w:t>、乙</w:t>
      </w:r>
      <w:r>
        <w:rPr>
          <w:rFonts w:ascii="宋体" w:hAnsi="宋体" w:eastAsia="宋体" w:cs="Times New Roman"/>
          <w:sz w:val="24"/>
          <w:szCs w:val="24"/>
        </w:rPr>
        <w:t>方未经</w:t>
      </w:r>
      <w:r>
        <w:rPr>
          <w:rFonts w:hint="eastAsia" w:ascii="宋体" w:hAnsi="宋体" w:eastAsia="宋体" w:cs="Times New Roman"/>
          <w:sz w:val="24"/>
          <w:szCs w:val="24"/>
        </w:rPr>
        <w:t>甲</w:t>
      </w:r>
      <w:r>
        <w:rPr>
          <w:rFonts w:ascii="宋体" w:hAnsi="宋体" w:eastAsia="宋体" w:cs="Times New Roman"/>
          <w:sz w:val="24"/>
          <w:szCs w:val="24"/>
        </w:rPr>
        <w:t>方的书面同意，不得将上述资料用于与本咨询服务项目之外的任何项目</w:t>
      </w:r>
      <w:r>
        <w:rPr>
          <w:rFonts w:hint="eastAsia" w:ascii="宋体" w:hAnsi="宋体" w:eastAsia="宋体" w:cs="Times New Roman"/>
          <w:sz w:val="24"/>
          <w:szCs w:val="24"/>
        </w:rPr>
        <w:t>。</w:t>
      </w:r>
    </w:p>
    <w:p>
      <w:pPr>
        <w:ind w:firstLine="480" w:firstLineChars="200"/>
        <w:rPr>
          <w:rFonts w:ascii="Times New Roman" w:hAnsi="Times New Roman" w:eastAsia="宋体" w:cs="Times New Roman"/>
          <w:sz w:val="24"/>
          <w:szCs w:val="24"/>
        </w:rPr>
      </w:pPr>
      <w:r>
        <w:rPr>
          <w:rFonts w:hint="eastAsia" w:ascii="Times New Roman" w:hAnsi="Times New Roman" w:eastAsia="宋体" w:cs="Times New Roman"/>
          <w:sz w:val="24"/>
          <w:szCs w:val="24"/>
        </w:rPr>
        <w:t>3</w:t>
      </w:r>
      <w:r>
        <w:rPr>
          <w:rFonts w:hint="eastAsia" w:ascii="宋体" w:hAnsi="宋体" w:eastAsia="宋体" w:cs="Times New Roman"/>
          <w:sz w:val="24"/>
          <w:szCs w:val="24"/>
        </w:rPr>
        <w:t>、</w:t>
      </w:r>
      <w:r>
        <w:rPr>
          <w:rFonts w:ascii="宋体" w:hAnsi="宋体" w:eastAsia="宋体" w:cs="Times New Roman"/>
          <w:sz w:val="24"/>
          <w:szCs w:val="24"/>
        </w:rPr>
        <w:t>合同履行</w:t>
      </w:r>
      <w:r>
        <w:rPr>
          <w:rFonts w:hint="eastAsia" w:ascii="宋体" w:hAnsi="宋体" w:eastAsia="宋体" w:cs="Times New Roman"/>
          <w:sz w:val="24"/>
          <w:szCs w:val="24"/>
        </w:rPr>
        <w:t>完毕，</w:t>
      </w:r>
      <w:r>
        <w:rPr>
          <w:rFonts w:ascii="宋体" w:hAnsi="宋体" w:eastAsia="宋体" w:cs="Times New Roman"/>
          <w:sz w:val="24"/>
          <w:szCs w:val="24"/>
        </w:rPr>
        <w:t>未经</w:t>
      </w:r>
      <w:r>
        <w:rPr>
          <w:rFonts w:hint="eastAsia" w:ascii="宋体" w:hAnsi="宋体" w:eastAsia="宋体" w:cs="Times New Roman"/>
          <w:sz w:val="24"/>
          <w:szCs w:val="24"/>
        </w:rPr>
        <w:t>甲</w:t>
      </w:r>
      <w:r>
        <w:rPr>
          <w:rFonts w:ascii="宋体" w:hAnsi="宋体" w:eastAsia="宋体" w:cs="Times New Roman"/>
          <w:sz w:val="24"/>
          <w:szCs w:val="24"/>
        </w:rPr>
        <w:t>方的书面同意</w:t>
      </w:r>
      <w:r>
        <w:rPr>
          <w:rFonts w:hint="eastAsia" w:ascii="宋体" w:hAnsi="宋体" w:eastAsia="宋体" w:cs="Times New Roman"/>
          <w:sz w:val="24"/>
          <w:szCs w:val="24"/>
        </w:rPr>
        <w:t>，乙</w:t>
      </w:r>
      <w:r>
        <w:rPr>
          <w:rFonts w:ascii="宋体" w:hAnsi="宋体" w:eastAsia="宋体" w:cs="Times New Roman"/>
          <w:sz w:val="24"/>
          <w:szCs w:val="24"/>
        </w:rPr>
        <w:t>方</w:t>
      </w:r>
      <w:r>
        <w:rPr>
          <w:rFonts w:hint="eastAsia" w:ascii="宋体" w:hAnsi="宋体" w:eastAsia="宋体" w:cs="Times New Roman"/>
          <w:sz w:val="24"/>
          <w:szCs w:val="24"/>
        </w:rPr>
        <w:t>不得保存在</w:t>
      </w:r>
      <w:r>
        <w:rPr>
          <w:rFonts w:ascii="宋体" w:hAnsi="宋体" w:eastAsia="宋体" w:cs="Times New Roman"/>
          <w:sz w:val="24"/>
          <w:szCs w:val="24"/>
        </w:rPr>
        <w:t>履行合同过程中所获得或接触到的任何</w:t>
      </w:r>
      <w:r>
        <w:rPr>
          <w:rFonts w:hint="eastAsia" w:ascii="宋体" w:hAnsi="宋体" w:eastAsia="宋体" w:cs="Times New Roman"/>
          <w:sz w:val="24"/>
          <w:szCs w:val="24"/>
        </w:rPr>
        <w:t>内部数据资料。</w:t>
      </w:r>
    </w:p>
    <w:p>
      <w:pPr>
        <w:ind w:firstLine="482" w:firstLineChars="200"/>
        <w:rPr>
          <w:rFonts w:ascii="宋体" w:hAnsi="宋体" w:eastAsia="宋体" w:cs="Times New Roman"/>
          <w:b/>
          <w:bCs/>
          <w:sz w:val="24"/>
          <w:szCs w:val="24"/>
        </w:rPr>
      </w:pPr>
      <w:r>
        <w:rPr>
          <w:rFonts w:hint="eastAsia" w:ascii="宋体" w:hAnsi="宋体" w:eastAsia="宋体" w:cs="Times New Roman"/>
          <w:b/>
          <w:bCs/>
          <w:sz w:val="24"/>
          <w:szCs w:val="24"/>
        </w:rPr>
        <w:t>第五条  甲方的义务</w:t>
      </w:r>
    </w:p>
    <w:p>
      <w:pPr>
        <w:ind w:firstLine="480" w:firstLineChars="200"/>
        <w:rPr>
          <w:rFonts w:ascii="宋体" w:hAnsi="宋体" w:eastAsia="宋体" w:cs="Times New Roman"/>
          <w:sz w:val="24"/>
          <w:szCs w:val="24"/>
        </w:rPr>
      </w:pPr>
      <w:r>
        <w:rPr>
          <w:rFonts w:hint="eastAsia" w:ascii="宋体" w:hAnsi="宋体" w:eastAsia="宋体" w:cs="Times New Roman"/>
          <w:sz w:val="24"/>
          <w:szCs w:val="24"/>
        </w:rPr>
        <w:t>1、负责与本咨询服务项目有关的第三方的协调，提供开展咨询服务工作的外部条件。</w:t>
      </w:r>
    </w:p>
    <w:p>
      <w:pPr>
        <w:ind w:firstLine="480" w:firstLineChars="200"/>
        <w:rPr>
          <w:rFonts w:ascii="宋体" w:hAnsi="宋体" w:eastAsia="宋体" w:cs="Times New Roman"/>
          <w:sz w:val="24"/>
          <w:szCs w:val="24"/>
        </w:rPr>
      </w:pPr>
      <w:r>
        <w:rPr>
          <w:rFonts w:hint="eastAsia" w:ascii="宋体" w:hAnsi="宋体" w:eastAsia="宋体" w:cs="Times New Roman"/>
          <w:sz w:val="24"/>
          <w:szCs w:val="24"/>
        </w:rPr>
        <w:t>2、向乙方提供与本项目咨询服务工作有关的资料。</w:t>
      </w:r>
    </w:p>
    <w:p>
      <w:pPr>
        <w:ind w:firstLine="480" w:firstLineChars="200"/>
        <w:rPr>
          <w:rFonts w:ascii="宋体" w:hAnsi="宋体" w:eastAsia="宋体" w:cs="Times New Roman"/>
          <w:sz w:val="24"/>
          <w:szCs w:val="24"/>
        </w:rPr>
      </w:pPr>
      <w:r>
        <w:rPr>
          <w:rFonts w:hint="eastAsia" w:ascii="宋体" w:hAnsi="宋体" w:eastAsia="宋体" w:cs="Times New Roman"/>
          <w:sz w:val="24"/>
          <w:szCs w:val="24"/>
        </w:rPr>
        <w:t>3、负责组织有关专家对项目试验成果评估报告的评审。</w:t>
      </w:r>
    </w:p>
    <w:p>
      <w:pPr>
        <w:ind w:firstLine="482" w:firstLineChars="200"/>
        <w:rPr>
          <w:rFonts w:ascii="宋体" w:hAnsi="宋体" w:eastAsia="宋体" w:cs="Times New Roman"/>
          <w:b/>
          <w:bCs/>
          <w:sz w:val="24"/>
          <w:szCs w:val="24"/>
        </w:rPr>
      </w:pPr>
      <w:r>
        <w:rPr>
          <w:rFonts w:hint="eastAsia" w:ascii="宋体" w:hAnsi="宋体" w:eastAsia="宋体" w:cs="Times New Roman"/>
          <w:b/>
          <w:bCs/>
          <w:sz w:val="24"/>
          <w:szCs w:val="24"/>
        </w:rPr>
        <w:t>第六条 乙方的义务</w:t>
      </w:r>
    </w:p>
    <w:p>
      <w:pPr>
        <w:ind w:firstLine="480" w:firstLineChars="200"/>
        <w:rPr>
          <w:rFonts w:ascii="宋体" w:hAnsi="宋体" w:eastAsia="宋体" w:cs="Times New Roman"/>
          <w:sz w:val="24"/>
          <w:szCs w:val="24"/>
        </w:rPr>
      </w:pPr>
      <w:r>
        <w:rPr>
          <w:rFonts w:hint="eastAsia" w:ascii="宋体" w:hAnsi="宋体" w:eastAsia="宋体" w:cs="Times New Roman"/>
          <w:sz w:val="24"/>
          <w:szCs w:val="24"/>
        </w:rPr>
        <w:t>１、应按照招标文件、投标文件要求按期完成本项目咨询服务工作。</w:t>
      </w:r>
    </w:p>
    <w:p>
      <w:pPr>
        <w:ind w:firstLine="480" w:firstLineChars="200"/>
        <w:rPr>
          <w:rFonts w:ascii="宋体" w:hAnsi="宋体" w:eastAsia="宋体" w:cs="Times New Roman"/>
          <w:sz w:val="24"/>
          <w:szCs w:val="24"/>
        </w:rPr>
      </w:pPr>
      <w:r>
        <w:rPr>
          <w:rFonts w:hint="eastAsia" w:ascii="宋体" w:hAnsi="宋体" w:eastAsia="宋体" w:cs="Times New Roman"/>
          <w:sz w:val="24"/>
          <w:szCs w:val="24"/>
        </w:rPr>
        <w:t>2、负责组织项目的实施，保证工程进度和成桥荷载试验工作质量，并满足交通部交工验收相关标准。</w:t>
      </w:r>
    </w:p>
    <w:p>
      <w:pPr>
        <w:ind w:firstLine="480" w:firstLineChars="200"/>
        <w:rPr>
          <w:rFonts w:ascii="宋体" w:hAnsi="宋体" w:eastAsia="宋体" w:cs="Times New Roman"/>
          <w:sz w:val="24"/>
          <w:szCs w:val="24"/>
        </w:rPr>
      </w:pPr>
      <w:r>
        <w:rPr>
          <w:rFonts w:hint="eastAsia" w:ascii="宋体" w:hAnsi="宋体" w:eastAsia="宋体" w:cs="Times New Roman"/>
          <w:sz w:val="24"/>
          <w:szCs w:val="24"/>
        </w:rPr>
        <w:t>3、向甲方提交检测资料等各套，一套电子版文件。</w:t>
      </w:r>
    </w:p>
    <w:p>
      <w:pPr>
        <w:ind w:firstLine="480" w:firstLineChars="200"/>
        <w:rPr>
          <w:rFonts w:ascii="宋体" w:hAnsi="宋体" w:eastAsia="宋体" w:cs="Times New Roman"/>
          <w:sz w:val="24"/>
          <w:szCs w:val="24"/>
        </w:rPr>
      </w:pPr>
      <w:r>
        <w:rPr>
          <w:rFonts w:hint="eastAsia" w:ascii="宋体" w:hAnsi="宋体" w:eastAsia="宋体" w:cs="Times New Roman"/>
          <w:sz w:val="24"/>
          <w:szCs w:val="24"/>
        </w:rPr>
        <w:t>4、在履行合同期间或合同规定期限内，不得泄露与本合同规定业务活动有关的保密资料。</w:t>
      </w:r>
    </w:p>
    <w:p>
      <w:pPr>
        <w:ind w:firstLine="482" w:firstLineChars="200"/>
        <w:rPr>
          <w:rFonts w:ascii="宋体" w:hAnsi="宋体" w:eastAsia="宋体" w:cs="Times New Roman"/>
          <w:b/>
          <w:bCs/>
          <w:sz w:val="24"/>
          <w:szCs w:val="24"/>
        </w:rPr>
      </w:pPr>
      <w:r>
        <w:rPr>
          <w:rFonts w:hint="eastAsia" w:ascii="宋体" w:hAnsi="宋体" w:eastAsia="宋体" w:cs="Times New Roman"/>
          <w:b/>
          <w:bCs/>
          <w:sz w:val="24"/>
          <w:szCs w:val="24"/>
        </w:rPr>
        <w:t>第七条  甲方的权利</w:t>
      </w:r>
    </w:p>
    <w:p>
      <w:pPr>
        <w:ind w:firstLine="480" w:firstLineChars="200"/>
        <w:rPr>
          <w:rFonts w:ascii="宋体" w:hAnsi="宋体" w:eastAsia="宋体" w:cs="Times New Roman"/>
          <w:sz w:val="24"/>
          <w:szCs w:val="24"/>
        </w:rPr>
      </w:pPr>
      <w:r>
        <w:rPr>
          <w:rFonts w:hint="eastAsia" w:ascii="宋体" w:hAnsi="宋体" w:eastAsia="宋体" w:cs="Times New Roman"/>
          <w:sz w:val="24"/>
          <w:szCs w:val="24"/>
        </w:rPr>
        <w:t>1、有权向乙方询问工作进展情况及相关的内容。</w:t>
      </w:r>
    </w:p>
    <w:p>
      <w:pPr>
        <w:ind w:firstLine="480" w:firstLineChars="200"/>
        <w:rPr>
          <w:rFonts w:ascii="宋体" w:hAnsi="宋体" w:eastAsia="宋体" w:cs="Times New Roman"/>
          <w:sz w:val="24"/>
          <w:szCs w:val="24"/>
        </w:rPr>
      </w:pPr>
      <w:r>
        <w:rPr>
          <w:rFonts w:hint="eastAsia" w:ascii="宋体" w:hAnsi="宋体" w:eastAsia="宋体" w:cs="Times New Roman"/>
          <w:sz w:val="24"/>
          <w:szCs w:val="24"/>
        </w:rPr>
        <w:t>2、有权阐述对具体问题的意见和建议。</w:t>
      </w:r>
    </w:p>
    <w:p>
      <w:pPr>
        <w:ind w:firstLine="480" w:firstLineChars="200"/>
        <w:rPr>
          <w:rFonts w:ascii="宋体" w:hAnsi="宋体" w:eastAsia="宋体" w:cs="Times New Roman"/>
          <w:sz w:val="24"/>
          <w:szCs w:val="24"/>
        </w:rPr>
      </w:pPr>
      <w:r>
        <w:rPr>
          <w:rFonts w:hint="eastAsia" w:ascii="宋体" w:hAnsi="宋体" w:eastAsia="宋体" w:cs="Times New Roman"/>
          <w:sz w:val="24"/>
          <w:szCs w:val="24"/>
        </w:rPr>
        <w:t>3、当甲方认定乙方人员不按合同履行其职责，或与第三人串通给甲方造成经济损失的，甲方有权要求更换人员，直至终止合同并要求乙方承担相应的赔偿责任。</w:t>
      </w:r>
    </w:p>
    <w:p>
      <w:pPr>
        <w:ind w:firstLine="482" w:firstLineChars="200"/>
        <w:rPr>
          <w:rFonts w:ascii="宋体" w:hAnsi="宋体" w:eastAsia="宋体" w:cs="Times New Roman"/>
          <w:b/>
          <w:bCs/>
          <w:sz w:val="24"/>
          <w:szCs w:val="24"/>
        </w:rPr>
      </w:pPr>
      <w:r>
        <w:rPr>
          <w:rFonts w:hint="eastAsia" w:ascii="宋体" w:hAnsi="宋体" w:eastAsia="宋体" w:cs="Times New Roman"/>
          <w:b/>
          <w:bCs/>
          <w:sz w:val="24"/>
          <w:szCs w:val="24"/>
        </w:rPr>
        <w:t>第八条  乙方的权利</w:t>
      </w:r>
    </w:p>
    <w:p>
      <w:pPr>
        <w:ind w:firstLine="480" w:firstLineChars="200"/>
        <w:rPr>
          <w:rFonts w:ascii="宋体" w:hAnsi="宋体" w:eastAsia="宋体" w:cs="Times New Roman"/>
          <w:sz w:val="24"/>
          <w:szCs w:val="24"/>
        </w:rPr>
      </w:pPr>
      <w:r>
        <w:rPr>
          <w:rFonts w:hint="eastAsia" w:ascii="宋体" w:hAnsi="宋体" w:eastAsia="宋体" w:cs="Times New Roman"/>
          <w:sz w:val="24"/>
          <w:szCs w:val="24"/>
        </w:rPr>
        <w:t>1、乙方在本项目服务过程中，如甲方提供的资料不明确时可向甲方提出书面报告。</w:t>
      </w:r>
    </w:p>
    <w:p>
      <w:pPr>
        <w:ind w:firstLine="480" w:firstLineChars="200"/>
        <w:rPr>
          <w:rFonts w:ascii="宋体" w:hAnsi="宋体" w:eastAsia="宋体" w:cs="Times New Roman"/>
          <w:sz w:val="24"/>
          <w:szCs w:val="24"/>
        </w:rPr>
      </w:pPr>
      <w:r>
        <w:rPr>
          <w:rFonts w:hint="eastAsia" w:ascii="宋体" w:hAnsi="宋体" w:eastAsia="宋体" w:cs="Times New Roman"/>
          <w:sz w:val="24"/>
          <w:szCs w:val="24"/>
        </w:rPr>
        <w:t>2、乙方在本项目服务过程中，有权对第三方提出与本咨询服务业务有关的问题进行核对或查问。</w:t>
      </w:r>
    </w:p>
    <w:p>
      <w:pPr>
        <w:ind w:firstLine="480" w:firstLineChars="200"/>
        <w:rPr>
          <w:rFonts w:ascii="宋体" w:hAnsi="宋体" w:eastAsia="宋体" w:cs="Times New Roman"/>
          <w:sz w:val="24"/>
          <w:szCs w:val="24"/>
        </w:rPr>
      </w:pPr>
      <w:r>
        <w:rPr>
          <w:rFonts w:hint="eastAsia" w:ascii="宋体" w:hAnsi="宋体" w:eastAsia="宋体" w:cs="Times New Roman"/>
          <w:sz w:val="24"/>
          <w:szCs w:val="24"/>
        </w:rPr>
        <w:t>3、乙方在本项目服务过程中，有到工程现场勘察的权利。</w:t>
      </w:r>
    </w:p>
    <w:p>
      <w:pPr>
        <w:ind w:firstLine="482" w:firstLineChars="200"/>
        <w:rPr>
          <w:rFonts w:ascii="宋体" w:hAnsi="宋体" w:eastAsia="宋体" w:cs="Times New Roman"/>
          <w:b/>
          <w:bCs/>
          <w:sz w:val="24"/>
          <w:szCs w:val="24"/>
        </w:rPr>
      </w:pPr>
      <w:r>
        <w:rPr>
          <w:rFonts w:hint="eastAsia" w:ascii="宋体" w:hAnsi="宋体" w:eastAsia="宋体" w:cs="Times New Roman"/>
          <w:b/>
          <w:bCs/>
          <w:sz w:val="24"/>
          <w:szCs w:val="24"/>
        </w:rPr>
        <w:t>第九条  甲方的责任</w:t>
      </w:r>
    </w:p>
    <w:p>
      <w:pPr>
        <w:ind w:firstLine="480" w:firstLineChars="200"/>
        <w:rPr>
          <w:rFonts w:ascii="宋体" w:hAnsi="宋体" w:eastAsia="宋体" w:cs="Times New Roman"/>
          <w:sz w:val="24"/>
          <w:szCs w:val="24"/>
        </w:rPr>
      </w:pPr>
      <w:r>
        <w:rPr>
          <w:rFonts w:hint="eastAsia" w:ascii="宋体" w:hAnsi="宋体" w:eastAsia="宋体" w:cs="Times New Roman"/>
          <w:sz w:val="24"/>
          <w:szCs w:val="24"/>
        </w:rPr>
        <w:t>1、应当履行本合同约定的义务，如有违反则应当承担违约责任，赔偿给乙方造成的损失。</w:t>
      </w:r>
    </w:p>
    <w:p>
      <w:pPr>
        <w:ind w:firstLine="480" w:firstLineChars="200"/>
        <w:rPr>
          <w:rFonts w:ascii="宋体" w:hAnsi="宋体" w:eastAsia="宋体" w:cs="Times New Roman"/>
          <w:sz w:val="24"/>
          <w:szCs w:val="24"/>
        </w:rPr>
      </w:pPr>
      <w:r>
        <w:rPr>
          <w:rFonts w:hint="eastAsia" w:ascii="宋体" w:hAnsi="宋体" w:eastAsia="宋体" w:cs="Times New Roman"/>
          <w:sz w:val="24"/>
          <w:szCs w:val="24"/>
        </w:rPr>
        <w:t>2、甲方向乙方提出赔偿要求不能成立时，则应补偿由于该赔偿或其他要求所导致乙方的各种费用的支出。</w:t>
      </w:r>
    </w:p>
    <w:p>
      <w:pPr>
        <w:ind w:firstLine="482" w:firstLineChars="200"/>
        <w:rPr>
          <w:rFonts w:ascii="宋体" w:hAnsi="宋体" w:eastAsia="宋体" w:cs="Times New Roman"/>
          <w:b/>
          <w:bCs/>
          <w:sz w:val="24"/>
          <w:szCs w:val="24"/>
        </w:rPr>
      </w:pPr>
      <w:r>
        <w:rPr>
          <w:rFonts w:hint="eastAsia" w:ascii="宋体" w:hAnsi="宋体" w:eastAsia="宋体" w:cs="Times New Roman"/>
          <w:b/>
          <w:bCs/>
          <w:sz w:val="24"/>
          <w:szCs w:val="24"/>
        </w:rPr>
        <w:t>第十条  乙方的责任</w:t>
      </w:r>
    </w:p>
    <w:p>
      <w:pPr>
        <w:ind w:firstLine="480" w:firstLineChars="200"/>
        <w:rPr>
          <w:rFonts w:ascii="宋体" w:hAnsi="宋体" w:eastAsia="宋体" w:cs="Times New Roman"/>
          <w:sz w:val="24"/>
          <w:szCs w:val="24"/>
        </w:rPr>
      </w:pPr>
      <w:r>
        <w:rPr>
          <w:rFonts w:hint="eastAsia" w:ascii="宋体" w:hAnsi="宋体" w:eastAsia="宋体" w:cs="Times New Roman"/>
          <w:sz w:val="24"/>
          <w:szCs w:val="24"/>
        </w:rPr>
        <w:t>1、乙方的责任期即本合同有效期。如因非乙方的责任造成进度的推迟或延误而超过约定的日期，双方应进一步约定相应延长合同有效期。</w:t>
      </w:r>
    </w:p>
    <w:p>
      <w:pPr>
        <w:ind w:firstLine="480" w:firstLineChars="200"/>
        <w:rPr>
          <w:rFonts w:ascii="宋体" w:hAnsi="宋体" w:eastAsia="宋体" w:cs="Times New Roman"/>
          <w:sz w:val="24"/>
          <w:szCs w:val="24"/>
        </w:rPr>
      </w:pPr>
      <w:r>
        <w:rPr>
          <w:rFonts w:hint="eastAsia" w:ascii="宋体" w:hAnsi="宋体" w:eastAsia="宋体" w:cs="Times New Roman"/>
          <w:sz w:val="24"/>
          <w:szCs w:val="24"/>
        </w:rPr>
        <w:t>2、乙方的责任期内，应当履行本合同中约定的义务，因乙方的单方过失造成的经济损失，应当向甲方进行赔偿。</w:t>
      </w:r>
    </w:p>
    <w:p>
      <w:pPr>
        <w:ind w:firstLine="480" w:firstLineChars="200"/>
        <w:rPr>
          <w:rFonts w:ascii="宋体" w:hAnsi="宋体" w:eastAsia="宋体" w:cs="Times New Roman"/>
          <w:sz w:val="24"/>
          <w:szCs w:val="24"/>
        </w:rPr>
      </w:pPr>
      <w:r>
        <w:rPr>
          <w:rFonts w:hint="eastAsia" w:ascii="宋体" w:hAnsi="宋体" w:eastAsia="宋体" w:cs="Times New Roman"/>
          <w:sz w:val="24"/>
          <w:szCs w:val="24"/>
        </w:rPr>
        <w:t>3、乙方对甲方或第三方所提出的问题不能及时核对或答复，导致合同不能全部或部分履行，乙方应承担责任。</w:t>
      </w:r>
    </w:p>
    <w:p>
      <w:pPr>
        <w:ind w:firstLine="480" w:firstLineChars="200"/>
        <w:rPr>
          <w:rFonts w:ascii="宋体" w:hAnsi="宋体" w:eastAsia="宋体" w:cs="Times New Roman"/>
          <w:sz w:val="24"/>
          <w:szCs w:val="24"/>
        </w:rPr>
      </w:pPr>
      <w:r>
        <w:rPr>
          <w:rFonts w:hint="eastAsia" w:ascii="宋体" w:hAnsi="宋体" w:eastAsia="宋体" w:cs="Times New Roman"/>
          <w:sz w:val="24"/>
          <w:szCs w:val="24"/>
        </w:rPr>
        <w:t>4、乙方向甲方提出赔偿要求不能成立时，则应补偿由于该赔偿或其他要求所导致甲方的各种费用的支出。</w:t>
      </w:r>
    </w:p>
    <w:p>
      <w:pPr>
        <w:ind w:firstLine="482" w:firstLineChars="200"/>
        <w:rPr>
          <w:rFonts w:ascii="宋体" w:hAnsi="宋体" w:eastAsia="宋体" w:cs="Times New Roman"/>
          <w:b/>
          <w:bCs/>
          <w:sz w:val="24"/>
          <w:szCs w:val="24"/>
        </w:rPr>
      </w:pPr>
      <w:r>
        <w:rPr>
          <w:rFonts w:hint="eastAsia" w:ascii="宋体" w:hAnsi="宋体" w:eastAsia="宋体" w:cs="Times New Roman"/>
          <w:b/>
          <w:bCs/>
          <w:sz w:val="24"/>
          <w:szCs w:val="24"/>
        </w:rPr>
        <w:t>第十一条  人员要求</w:t>
      </w:r>
    </w:p>
    <w:p>
      <w:pPr>
        <w:ind w:firstLine="480" w:firstLineChars="200"/>
        <w:rPr>
          <w:rFonts w:ascii="宋体" w:hAnsi="宋体" w:eastAsia="宋体" w:cs="Times New Roman"/>
          <w:sz w:val="24"/>
          <w:szCs w:val="24"/>
        </w:rPr>
      </w:pPr>
      <w:r>
        <w:rPr>
          <w:rFonts w:hint="eastAsia" w:ascii="宋体" w:hAnsi="宋体" w:eastAsia="宋体" w:cs="Times New Roman"/>
          <w:sz w:val="24"/>
          <w:szCs w:val="24"/>
        </w:rPr>
        <w:t>1、参加本项目试验的人员必须具有国家和有关部门规定的相应资质。</w:t>
      </w:r>
    </w:p>
    <w:p>
      <w:pPr>
        <w:ind w:firstLine="480" w:firstLineChars="200"/>
        <w:rPr>
          <w:rFonts w:ascii="宋体" w:hAnsi="宋体" w:eastAsia="宋体" w:cs="Times New Roman"/>
          <w:sz w:val="24"/>
          <w:szCs w:val="24"/>
        </w:rPr>
      </w:pPr>
      <w:r>
        <w:rPr>
          <w:rFonts w:hint="eastAsia" w:ascii="宋体" w:hAnsi="宋体" w:eastAsia="宋体" w:cs="Times New Roman"/>
          <w:sz w:val="24"/>
          <w:szCs w:val="24"/>
        </w:rPr>
        <w:t>2、 参加本项目的试验人员的配置必须与投标文件中的服务承诺书和试验服务组织实施方案一致。</w:t>
      </w:r>
    </w:p>
    <w:p>
      <w:pPr>
        <w:ind w:firstLine="480" w:firstLineChars="200"/>
        <w:rPr>
          <w:rFonts w:ascii="宋体" w:hAnsi="宋体" w:eastAsia="宋体" w:cs="Times New Roman"/>
          <w:sz w:val="24"/>
          <w:szCs w:val="24"/>
        </w:rPr>
      </w:pPr>
      <w:r>
        <w:rPr>
          <w:rFonts w:hint="eastAsia" w:ascii="宋体" w:hAnsi="宋体" w:eastAsia="宋体" w:cs="Times New Roman"/>
          <w:sz w:val="24"/>
          <w:szCs w:val="24"/>
        </w:rPr>
        <w:t>3、必须以直属试验人员参与本项目服务，不得使用挂靠队伍。</w:t>
      </w:r>
    </w:p>
    <w:p>
      <w:pPr>
        <w:ind w:firstLine="482" w:firstLineChars="200"/>
        <w:rPr>
          <w:rFonts w:ascii="宋体" w:hAnsi="宋体" w:eastAsia="宋体" w:cs="Times New Roman"/>
          <w:b/>
          <w:bCs/>
          <w:sz w:val="24"/>
          <w:szCs w:val="24"/>
        </w:rPr>
      </w:pPr>
      <w:r>
        <w:rPr>
          <w:rFonts w:hint="eastAsia" w:ascii="宋体" w:hAnsi="宋体" w:eastAsia="宋体" w:cs="Times New Roman"/>
          <w:b/>
          <w:bCs/>
          <w:sz w:val="24"/>
          <w:szCs w:val="24"/>
        </w:rPr>
        <w:t>第十二条  乙方咨询服务工具要求</w:t>
      </w:r>
    </w:p>
    <w:p>
      <w:pPr>
        <w:ind w:firstLine="480" w:firstLineChars="200"/>
        <w:rPr>
          <w:rFonts w:ascii="宋体" w:hAnsi="宋体" w:eastAsia="宋体" w:cs="Times New Roman"/>
          <w:sz w:val="24"/>
          <w:szCs w:val="24"/>
        </w:rPr>
      </w:pPr>
      <w:r>
        <w:rPr>
          <w:rFonts w:hint="eastAsia" w:ascii="宋体" w:hAnsi="宋体" w:eastAsia="宋体" w:cs="Times New Roman"/>
          <w:sz w:val="24"/>
          <w:szCs w:val="24"/>
        </w:rPr>
        <w:t>1、乙方应配备中标项目所需的足够数量的仪器、仪表以及工具等设备。用户不需向乙方提供施工工具和仪器、仪表。</w:t>
      </w:r>
    </w:p>
    <w:p>
      <w:pPr>
        <w:ind w:firstLine="480" w:firstLineChars="200"/>
        <w:rPr>
          <w:rFonts w:ascii="宋体" w:hAnsi="宋体" w:eastAsia="宋体" w:cs="Times New Roman"/>
          <w:sz w:val="24"/>
          <w:szCs w:val="24"/>
        </w:rPr>
      </w:pPr>
      <w:r>
        <w:rPr>
          <w:rFonts w:hint="eastAsia" w:ascii="宋体" w:hAnsi="宋体" w:eastAsia="宋体" w:cs="Times New Roman"/>
          <w:sz w:val="24"/>
          <w:szCs w:val="24"/>
        </w:rPr>
        <w:t>2、乙方在提供服务过程中应自备车辆。</w:t>
      </w:r>
    </w:p>
    <w:p>
      <w:pPr>
        <w:ind w:firstLine="482" w:firstLineChars="200"/>
        <w:rPr>
          <w:rFonts w:ascii="宋体" w:hAnsi="宋体" w:eastAsia="宋体" w:cs="Times New Roman"/>
          <w:b/>
          <w:bCs/>
          <w:sz w:val="24"/>
          <w:szCs w:val="24"/>
        </w:rPr>
      </w:pPr>
      <w:r>
        <w:rPr>
          <w:rFonts w:hint="eastAsia" w:ascii="宋体" w:hAnsi="宋体" w:eastAsia="宋体" w:cs="Times New Roman"/>
          <w:b/>
          <w:bCs/>
          <w:sz w:val="24"/>
          <w:szCs w:val="24"/>
        </w:rPr>
        <w:t>第十三条  保密要求</w:t>
      </w:r>
    </w:p>
    <w:p>
      <w:pPr>
        <w:ind w:firstLine="480" w:firstLineChars="200"/>
        <w:rPr>
          <w:rFonts w:ascii="宋体" w:hAnsi="宋体" w:eastAsia="宋体" w:cs="Times New Roman"/>
          <w:sz w:val="24"/>
          <w:szCs w:val="24"/>
        </w:rPr>
      </w:pPr>
      <w:r>
        <w:rPr>
          <w:rFonts w:hint="eastAsia" w:ascii="宋体" w:hAnsi="宋体" w:eastAsia="宋体" w:cs="Times New Roman"/>
          <w:sz w:val="24"/>
          <w:szCs w:val="24"/>
        </w:rPr>
        <w:t>1、由甲方收集的、开发的、整理的、复制的、研究的和准备的与本合同项下工作有关的所有资料在提供给乙方时，均被视为保密的，不得泄漏给除甲方或其指定的代表之外的任何人、企业或公司，不管本合同因何种原因终止，本条款一直约束乙方。</w:t>
      </w:r>
    </w:p>
    <w:p>
      <w:pPr>
        <w:ind w:firstLine="480" w:firstLineChars="200"/>
        <w:rPr>
          <w:rFonts w:ascii="宋体" w:hAnsi="宋体" w:eastAsia="宋体" w:cs="Times New Roman"/>
          <w:sz w:val="24"/>
          <w:szCs w:val="24"/>
        </w:rPr>
      </w:pPr>
      <w:r>
        <w:rPr>
          <w:rFonts w:hint="eastAsia" w:ascii="宋体" w:hAnsi="宋体" w:eastAsia="宋体" w:cs="Times New Roman"/>
          <w:sz w:val="24"/>
          <w:szCs w:val="24"/>
        </w:rPr>
        <w:t>2、乙方在履行合同过程中所获得或接触到的任何内部数据资料，未经甲方同意，不得向第三方透露。</w:t>
      </w:r>
    </w:p>
    <w:p>
      <w:pPr>
        <w:ind w:firstLine="480" w:firstLineChars="200"/>
        <w:rPr>
          <w:rFonts w:ascii="宋体" w:hAnsi="宋体" w:eastAsia="宋体" w:cs="Times New Roman"/>
          <w:sz w:val="24"/>
          <w:szCs w:val="24"/>
        </w:rPr>
      </w:pPr>
      <w:r>
        <w:rPr>
          <w:rFonts w:hint="eastAsia" w:ascii="宋体" w:hAnsi="宋体" w:eastAsia="宋体" w:cs="Times New Roman"/>
          <w:sz w:val="24"/>
          <w:szCs w:val="24"/>
        </w:rPr>
        <w:t>3、乙方实施项目的一切程序都应符合国家安全、保密的有关规定和标准。</w:t>
      </w:r>
    </w:p>
    <w:p>
      <w:pPr>
        <w:ind w:firstLine="480" w:firstLineChars="200"/>
        <w:rPr>
          <w:rFonts w:ascii="宋体" w:hAnsi="宋体" w:eastAsia="宋体" w:cs="Times New Roman"/>
          <w:sz w:val="24"/>
          <w:szCs w:val="24"/>
        </w:rPr>
      </w:pPr>
      <w:r>
        <w:rPr>
          <w:rFonts w:hint="eastAsia" w:ascii="宋体" w:hAnsi="宋体" w:eastAsia="宋体" w:cs="Times New Roman"/>
          <w:sz w:val="24"/>
          <w:szCs w:val="24"/>
        </w:rPr>
        <w:t>4、乙方参加项目的有关人员均需同甲方签订保密协议。</w:t>
      </w:r>
    </w:p>
    <w:p>
      <w:pPr>
        <w:ind w:firstLine="482" w:firstLineChars="200"/>
        <w:rPr>
          <w:rFonts w:ascii="宋体" w:hAnsi="宋体" w:eastAsia="宋体" w:cs="Times New Roman"/>
          <w:b/>
          <w:bCs/>
          <w:sz w:val="24"/>
          <w:szCs w:val="24"/>
        </w:rPr>
      </w:pPr>
      <w:r>
        <w:rPr>
          <w:rFonts w:hint="eastAsia" w:ascii="宋体" w:hAnsi="宋体" w:eastAsia="宋体" w:cs="Times New Roman"/>
          <w:b/>
          <w:bCs/>
          <w:sz w:val="24"/>
          <w:szCs w:val="24"/>
        </w:rPr>
        <w:t xml:space="preserve">第十四条  验收     </w:t>
      </w:r>
    </w:p>
    <w:p>
      <w:pPr>
        <w:ind w:firstLine="480" w:firstLineChars="200"/>
        <w:rPr>
          <w:rFonts w:ascii="宋体" w:hAnsi="宋体" w:eastAsia="宋体" w:cs="Times New Roman"/>
          <w:sz w:val="24"/>
          <w:szCs w:val="24"/>
        </w:rPr>
      </w:pPr>
      <w:r>
        <w:rPr>
          <w:rFonts w:hint="eastAsia" w:ascii="宋体" w:hAnsi="宋体" w:eastAsia="宋体" w:cs="Times New Roman"/>
          <w:sz w:val="24"/>
          <w:szCs w:val="24"/>
        </w:rPr>
        <w:t>1、下列文件的验收分为</w:t>
      </w:r>
      <w:r>
        <w:rPr>
          <w:rFonts w:hint="eastAsia" w:ascii="宋体" w:hAnsi="宋体" w:eastAsia="宋体" w:cs="Times New Roman"/>
          <w:sz w:val="24"/>
          <w:szCs w:val="24"/>
          <w:u w:val="single"/>
        </w:rPr>
        <w:t xml:space="preserve">          三</w:t>
      </w:r>
      <w:r>
        <w:rPr>
          <w:rFonts w:hint="eastAsia" w:ascii="宋体" w:hAnsi="宋体" w:eastAsia="宋体" w:cs="Times New Roman"/>
          <w:sz w:val="24"/>
          <w:szCs w:val="24"/>
        </w:rPr>
        <w:t>个阶段:</w:t>
      </w:r>
    </w:p>
    <w:p>
      <w:pPr>
        <w:ind w:firstLine="480" w:firstLineChars="200"/>
        <w:rPr>
          <w:rFonts w:ascii="宋体" w:hAnsi="宋体" w:eastAsia="宋体" w:cs="Times New Roman"/>
          <w:sz w:val="24"/>
          <w:szCs w:val="24"/>
        </w:rPr>
      </w:pPr>
      <w:r>
        <w:rPr>
          <w:rFonts w:hint="eastAsia" w:ascii="宋体" w:hAnsi="宋体" w:eastAsia="宋体" w:cs="Times New Roman"/>
          <w:sz w:val="24"/>
          <w:szCs w:val="24"/>
        </w:rPr>
        <w:t>2、其余文件和工作由用户组织有关技术人员根据国家和行业有关规范、规程、标准和用户需求直接验收。</w:t>
      </w:r>
    </w:p>
    <w:p>
      <w:pPr>
        <w:ind w:firstLine="480" w:firstLineChars="200"/>
        <w:rPr>
          <w:rFonts w:ascii="宋体" w:hAnsi="宋体" w:eastAsia="宋体" w:cs="Times New Roman"/>
          <w:sz w:val="24"/>
          <w:szCs w:val="24"/>
        </w:rPr>
      </w:pPr>
      <w:r>
        <w:rPr>
          <w:rFonts w:hint="eastAsia" w:ascii="宋体" w:hAnsi="宋体" w:eastAsia="宋体" w:cs="Times New Roman"/>
          <w:sz w:val="24"/>
          <w:szCs w:val="24"/>
        </w:rPr>
        <w:t>3、验收依据为招标文件、投标文件，国家和行业有关规范、规程和标准。</w:t>
      </w:r>
    </w:p>
    <w:p>
      <w:pPr>
        <w:ind w:firstLine="482" w:firstLineChars="200"/>
        <w:rPr>
          <w:rFonts w:ascii="宋体" w:hAnsi="宋体" w:eastAsia="宋体" w:cs="Times New Roman"/>
          <w:b/>
          <w:bCs/>
          <w:sz w:val="24"/>
          <w:szCs w:val="24"/>
        </w:rPr>
      </w:pPr>
      <w:r>
        <w:rPr>
          <w:rFonts w:hint="eastAsia" w:ascii="宋体" w:hAnsi="宋体" w:eastAsia="宋体" w:cs="Times New Roman"/>
          <w:b/>
          <w:bCs/>
          <w:sz w:val="24"/>
          <w:szCs w:val="24"/>
        </w:rPr>
        <w:t>第十五条  付款方式</w:t>
      </w:r>
    </w:p>
    <w:p>
      <w:pPr>
        <w:ind w:firstLine="480" w:firstLineChars="200"/>
        <w:rPr>
          <w:rFonts w:ascii="宋体" w:hAnsi="宋体" w:eastAsia="宋体" w:cs="Times New Roman"/>
          <w:sz w:val="24"/>
          <w:szCs w:val="24"/>
        </w:rPr>
      </w:pPr>
      <w:r>
        <w:rPr>
          <w:rFonts w:hint="eastAsia" w:ascii="宋体" w:hAnsi="宋体" w:eastAsia="宋体" w:cs="Times New Roman"/>
          <w:sz w:val="24"/>
          <w:szCs w:val="24"/>
        </w:rPr>
        <w:t>1、合同签订后   天内乙方向甲方开具合法有效的发票后，甲方于   天内向乙方支付合同总价%的款项。</w:t>
      </w:r>
    </w:p>
    <w:p>
      <w:pPr>
        <w:ind w:firstLine="480" w:firstLineChars="200"/>
        <w:rPr>
          <w:rFonts w:ascii="宋体" w:hAnsi="宋体" w:eastAsia="宋体" w:cs="Times New Roman"/>
          <w:sz w:val="24"/>
          <w:szCs w:val="24"/>
        </w:rPr>
      </w:pPr>
      <w:r>
        <w:rPr>
          <w:rFonts w:hint="eastAsia" w:ascii="宋体" w:hAnsi="宋体" w:eastAsia="宋体" w:cs="Times New Roman"/>
          <w:sz w:val="24"/>
          <w:szCs w:val="24"/>
        </w:rPr>
        <w:t>2、检测完成并提交评估报告后  天内，乙方向甲方开具合法有效发票后 天，甲方向乙方支付合同总价%的款项。</w:t>
      </w:r>
    </w:p>
    <w:p>
      <w:pPr>
        <w:ind w:firstLine="480" w:firstLineChars="200"/>
        <w:rPr>
          <w:rFonts w:ascii="宋体" w:hAnsi="宋体" w:eastAsia="宋体" w:cs="Times New Roman"/>
          <w:sz w:val="24"/>
          <w:szCs w:val="24"/>
        </w:rPr>
      </w:pPr>
      <w:r>
        <w:rPr>
          <w:rFonts w:hint="eastAsia" w:ascii="宋体" w:hAnsi="宋体" w:eastAsia="宋体" w:cs="Times New Roman"/>
          <w:sz w:val="24"/>
          <w:szCs w:val="24"/>
        </w:rPr>
        <w:t>3、报告通过专家评审后，甲方向乙方支付合同总价%的款项。</w:t>
      </w:r>
    </w:p>
    <w:p>
      <w:pPr>
        <w:ind w:firstLine="482" w:firstLineChars="200"/>
        <w:rPr>
          <w:rFonts w:ascii="宋体" w:hAnsi="宋体" w:eastAsia="宋体" w:cs="Times New Roman"/>
          <w:b/>
          <w:bCs/>
          <w:sz w:val="24"/>
          <w:szCs w:val="24"/>
        </w:rPr>
      </w:pPr>
      <w:r>
        <w:rPr>
          <w:rFonts w:hint="eastAsia" w:ascii="宋体" w:hAnsi="宋体" w:eastAsia="宋体" w:cs="Times New Roman"/>
          <w:b/>
          <w:bCs/>
          <w:sz w:val="24"/>
          <w:szCs w:val="24"/>
        </w:rPr>
        <w:t>第十六条  争议解决办法</w:t>
      </w:r>
    </w:p>
    <w:p>
      <w:pPr>
        <w:ind w:firstLine="480" w:firstLineChars="200"/>
        <w:rPr>
          <w:rFonts w:ascii="宋体" w:hAnsi="宋体" w:eastAsia="宋体" w:cs="Times New Roman"/>
          <w:sz w:val="24"/>
          <w:szCs w:val="24"/>
        </w:rPr>
      </w:pPr>
      <w:r>
        <w:rPr>
          <w:rFonts w:hint="eastAsia" w:ascii="宋体" w:hAnsi="宋体" w:eastAsia="宋体" w:cs="Times New Roman"/>
          <w:sz w:val="24"/>
          <w:szCs w:val="24"/>
        </w:rPr>
        <w:t>执行本合同发生的争议，由甲乙双方协商解决，如协商不成的，应提交甲方所在地人民法院诉讼解决。</w:t>
      </w:r>
    </w:p>
    <w:p>
      <w:pPr>
        <w:ind w:firstLine="482" w:firstLineChars="200"/>
        <w:rPr>
          <w:rFonts w:ascii="宋体" w:hAnsi="宋体" w:eastAsia="宋体" w:cs="Times New Roman"/>
          <w:b/>
          <w:bCs/>
          <w:sz w:val="24"/>
          <w:szCs w:val="24"/>
        </w:rPr>
      </w:pPr>
      <w:r>
        <w:rPr>
          <w:rFonts w:hint="eastAsia" w:ascii="宋体" w:hAnsi="宋体" w:eastAsia="宋体" w:cs="Times New Roman"/>
          <w:b/>
          <w:bCs/>
          <w:sz w:val="24"/>
          <w:szCs w:val="24"/>
        </w:rPr>
        <w:t>第十七条  风险责任</w:t>
      </w:r>
    </w:p>
    <w:p>
      <w:pPr>
        <w:ind w:firstLine="480" w:firstLineChars="200"/>
        <w:rPr>
          <w:rFonts w:ascii="宋体" w:hAnsi="宋体" w:eastAsia="宋体" w:cs="Times New Roman"/>
          <w:sz w:val="24"/>
          <w:szCs w:val="24"/>
        </w:rPr>
      </w:pPr>
      <w:r>
        <w:rPr>
          <w:rFonts w:hint="eastAsia" w:ascii="宋体" w:hAnsi="宋体" w:eastAsia="宋体" w:cs="Times New Roman"/>
          <w:sz w:val="24"/>
          <w:szCs w:val="24"/>
        </w:rPr>
        <w:t>１、乙方应完全地按照招标文件的要求和乙方投标文件的承诺完成本项目，出于自身财务、技术、人力等原因导致项目失败的，应承担全部责任。</w:t>
      </w:r>
    </w:p>
    <w:p>
      <w:pPr>
        <w:ind w:firstLine="480" w:firstLineChars="200"/>
        <w:rPr>
          <w:rFonts w:ascii="宋体" w:hAnsi="宋体" w:eastAsia="宋体" w:cs="Times New Roman"/>
          <w:sz w:val="24"/>
          <w:szCs w:val="24"/>
        </w:rPr>
      </w:pPr>
      <w:r>
        <w:rPr>
          <w:rFonts w:hint="eastAsia" w:ascii="宋体" w:hAnsi="宋体" w:eastAsia="宋体" w:cs="Times New Roman"/>
          <w:sz w:val="24"/>
          <w:szCs w:val="24"/>
        </w:rPr>
        <w:t>2、乙方在实施荷载试验过程中应对自身的安全生产负责，若非因甲方原因发生的各种事故甲方不承担任何责任。</w:t>
      </w:r>
    </w:p>
    <w:p>
      <w:pPr>
        <w:ind w:firstLine="482" w:firstLineChars="200"/>
        <w:rPr>
          <w:rFonts w:ascii="宋体" w:hAnsi="宋体" w:eastAsia="宋体" w:cs="Times New Roman"/>
          <w:b/>
          <w:bCs/>
          <w:sz w:val="24"/>
          <w:szCs w:val="24"/>
        </w:rPr>
      </w:pPr>
      <w:r>
        <w:rPr>
          <w:rFonts w:hint="eastAsia" w:ascii="宋体" w:hAnsi="宋体" w:eastAsia="宋体" w:cs="Times New Roman"/>
          <w:b/>
          <w:bCs/>
          <w:sz w:val="24"/>
          <w:szCs w:val="24"/>
        </w:rPr>
        <w:t>第十八条  违约责任</w:t>
      </w:r>
    </w:p>
    <w:p>
      <w:pPr>
        <w:ind w:firstLine="480" w:firstLineChars="200"/>
        <w:rPr>
          <w:rFonts w:ascii="宋体" w:hAnsi="宋体" w:eastAsia="宋体" w:cs="Times New Roman"/>
          <w:sz w:val="24"/>
          <w:szCs w:val="24"/>
        </w:rPr>
      </w:pPr>
      <w:r>
        <w:rPr>
          <w:rFonts w:hint="eastAsia" w:ascii="宋体" w:hAnsi="宋体" w:eastAsia="宋体" w:cs="Times New Roman"/>
          <w:sz w:val="24"/>
          <w:szCs w:val="24"/>
        </w:rPr>
        <w:t>１、因乙方原因，未能按规定时间完成有关工作的，每延误一天，甲方可在支付合同余款中扣除合同价款千分之一。</w:t>
      </w:r>
    </w:p>
    <w:p>
      <w:pPr>
        <w:ind w:firstLine="480" w:firstLineChars="200"/>
        <w:rPr>
          <w:rFonts w:ascii="宋体" w:hAnsi="宋体" w:eastAsia="宋体" w:cs="Times New Roman"/>
          <w:sz w:val="24"/>
          <w:szCs w:val="24"/>
        </w:rPr>
      </w:pPr>
      <w:r>
        <w:rPr>
          <w:rFonts w:hint="eastAsia" w:ascii="宋体" w:hAnsi="宋体" w:eastAsia="宋体" w:cs="Times New Roman"/>
          <w:sz w:val="24"/>
          <w:szCs w:val="24"/>
        </w:rPr>
        <w:t>2、由于乙方原因造成试验成果质量低劣，不能满足大纲要求时，应继续完善试验工作，其费用由乙方承担。</w:t>
      </w:r>
    </w:p>
    <w:p>
      <w:pPr>
        <w:ind w:firstLine="480" w:firstLineChars="200"/>
        <w:rPr>
          <w:rFonts w:ascii="宋体" w:hAnsi="宋体" w:eastAsia="宋体" w:cs="Times New Roman"/>
          <w:sz w:val="24"/>
          <w:szCs w:val="24"/>
        </w:rPr>
      </w:pPr>
      <w:r>
        <w:rPr>
          <w:rFonts w:hint="eastAsia" w:ascii="宋体" w:hAnsi="宋体" w:eastAsia="宋体" w:cs="Times New Roman"/>
          <w:sz w:val="24"/>
          <w:szCs w:val="24"/>
        </w:rPr>
        <w:t>3、乙方交付的成果经验收不合格，应于7日内无条件修改，费用由乙方自行承担，在甲方要求整改后再次验收不合格的，甲方有权解除合同、要求乙方返还甲方已支付的合同款项，并有权要求乙方按合同总额   %支付违约金。。</w:t>
      </w:r>
    </w:p>
    <w:p>
      <w:pPr>
        <w:ind w:firstLine="480" w:firstLineChars="200"/>
        <w:rPr>
          <w:rFonts w:ascii="宋体" w:hAnsi="宋体" w:eastAsia="宋体" w:cs="Times New Roman"/>
          <w:sz w:val="24"/>
          <w:szCs w:val="24"/>
        </w:rPr>
      </w:pPr>
      <w:r>
        <w:rPr>
          <w:rFonts w:hint="eastAsia" w:ascii="宋体" w:hAnsi="宋体" w:eastAsia="宋体" w:cs="Times New Roman"/>
          <w:sz w:val="24"/>
          <w:szCs w:val="24"/>
        </w:rPr>
        <w:t>4、若甲方发现乙方派出的试验服务人员或提供的试验仪器设备不符合合同要求，乙方应在3天之内按要求派出人员或提供满足投标文件承诺的仪器设备，否则甲方有权终止合同，并保留追究乙方责任及要求赔偿损失的权利。</w:t>
      </w:r>
    </w:p>
    <w:p>
      <w:pPr>
        <w:ind w:firstLine="480" w:firstLineChars="200"/>
        <w:rPr>
          <w:rFonts w:ascii="宋体" w:hAnsi="宋体" w:eastAsia="宋体" w:cs="Times New Roman"/>
          <w:sz w:val="24"/>
          <w:szCs w:val="24"/>
        </w:rPr>
      </w:pPr>
      <w:r>
        <w:rPr>
          <w:rFonts w:hint="eastAsia" w:ascii="宋体" w:hAnsi="宋体" w:eastAsia="宋体" w:cs="Times New Roman"/>
          <w:sz w:val="24"/>
          <w:szCs w:val="24"/>
        </w:rPr>
        <w:t>5、乙方或其工作人员违反本合同约定的保密义务，甲方有权要求乙方按合同总额   %支付违约金；造成不良影响或对甲方造成损失的，甲方有权要求乙方消除影响，承担赔偿责任，并有权解除合同。</w:t>
      </w:r>
    </w:p>
    <w:p>
      <w:pPr>
        <w:ind w:firstLine="480" w:firstLineChars="200"/>
        <w:rPr>
          <w:rFonts w:ascii="宋体" w:hAnsi="宋体" w:eastAsia="宋体" w:cs="Times New Roman"/>
          <w:sz w:val="24"/>
          <w:szCs w:val="24"/>
        </w:rPr>
      </w:pPr>
      <w:r>
        <w:rPr>
          <w:rFonts w:hint="eastAsia" w:ascii="宋体" w:hAnsi="宋体" w:eastAsia="宋体" w:cs="Times New Roman"/>
          <w:sz w:val="24"/>
          <w:szCs w:val="24"/>
        </w:rPr>
        <w:t>6、因乙方提供的服务成果受到侵权指控或者引发法律纠纷，影响甲方使用服务成果或者导致合同目的不能实现的，甲方有权要求乙方按合同总额   %支付违约金，并有权解除合同。</w:t>
      </w:r>
    </w:p>
    <w:p>
      <w:pPr>
        <w:ind w:firstLine="482" w:firstLineChars="200"/>
        <w:rPr>
          <w:rFonts w:ascii="宋体" w:hAnsi="宋体" w:eastAsia="宋体" w:cs="Times New Roman"/>
          <w:b/>
          <w:bCs/>
          <w:sz w:val="24"/>
          <w:szCs w:val="24"/>
        </w:rPr>
      </w:pPr>
      <w:r>
        <w:rPr>
          <w:rFonts w:hint="eastAsia" w:ascii="宋体" w:hAnsi="宋体" w:eastAsia="宋体" w:cs="Times New Roman"/>
          <w:b/>
          <w:bCs/>
          <w:sz w:val="24"/>
          <w:szCs w:val="24"/>
        </w:rPr>
        <w:t>第十九条  其他</w:t>
      </w:r>
    </w:p>
    <w:p>
      <w:pPr>
        <w:ind w:firstLine="480" w:firstLineChars="200"/>
        <w:rPr>
          <w:rFonts w:ascii="宋体" w:hAnsi="宋体" w:eastAsia="宋体" w:cs="Times New Roman"/>
          <w:sz w:val="24"/>
          <w:szCs w:val="24"/>
        </w:rPr>
      </w:pPr>
      <w:r>
        <w:rPr>
          <w:rFonts w:hint="eastAsia" w:ascii="宋体" w:hAnsi="宋体" w:eastAsia="宋体" w:cs="Times New Roman"/>
          <w:sz w:val="24"/>
          <w:szCs w:val="24"/>
        </w:rPr>
        <w:t>1、本合同与招标文件、乙方投标文件如有抵触之处，以本合同条款为准。</w:t>
      </w:r>
    </w:p>
    <w:p>
      <w:pPr>
        <w:ind w:firstLine="480" w:firstLineChars="200"/>
        <w:rPr>
          <w:rFonts w:ascii="宋体" w:hAnsi="宋体" w:eastAsia="宋体" w:cs="Times New Roman"/>
          <w:sz w:val="24"/>
          <w:szCs w:val="24"/>
        </w:rPr>
      </w:pPr>
      <w:r>
        <w:rPr>
          <w:rFonts w:hint="eastAsia" w:ascii="宋体" w:hAnsi="宋体" w:eastAsia="宋体" w:cs="Times New Roman"/>
          <w:sz w:val="24"/>
          <w:szCs w:val="24"/>
        </w:rPr>
        <w:t>2、下列文件均为本合同的组成部分：</w:t>
      </w:r>
    </w:p>
    <w:p>
      <w:pPr>
        <w:ind w:firstLine="480" w:firstLineChars="200"/>
        <w:rPr>
          <w:rFonts w:ascii="宋体" w:hAnsi="宋体" w:eastAsia="宋体" w:cs="Times New Roman"/>
          <w:sz w:val="24"/>
          <w:szCs w:val="24"/>
        </w:rPr>
      </w:pPr>
      <w:r>
        <w:rPr>
          <w:rFonts w:hint="eastAsia" w:ascii="宋体" w:hAnsi="宋体" w:eastAsia="宋体" w:cs="Times New Roman"/>
          <w:sz w:val="24"/>
          <w:szCs w:val="24"/>
        </w:rPr>
        <w:t>（1）号招标文件、答疑及补充通知；</w:t>
      </w:r>
    </w:p>
    <w:p>
      <w:pPr>
        <w:ind w:firstLine="480" w:firstLineChars="200"/>
        <w:rPr>
          <w:rFonts w:ascii="宋体" w:hAnsi="宋体" w:eastAsia="宋体" w:cs="Times New Roman"/>
          <w:sz w:val="24"/>
          <w:szCs w:val="24"/>
        </w:rPr>
      </w:pPr>
      <w:r>
        <w:rPr>
          <w:rFonts w:hint="eastAsia" w:ascii="宋体" w:hAnsi="宋体" w:eastAsia="宋体" w:cs="Times New Roman"/>
          <w:sz w:val="24"/>
          <w:szCs w:val="24"/>
        </w:rPr>
        <w:t>（2）投标文件；</w:t>
      </w:r>
    </w:p>
    <w:p>
      <w:pPr>
        <w:ind w:firstLine="480" w:firstLineChars="200"/>
        <w:rPr>
          <w:rFonts w:ascii="宋体" w:hAnsi="宋体" w:eastAsia="宋体" w:cs="Times New Roman"/>
          <w:sz w:val="24"/>
          <w:szCs w:val="24"/>
        </w:rPr>
      </w:pPr>
      <w:r>
        <w:rPr>
          <w:rFonts w:hint="eastAsia" w:ascii="宋体" w:hAnsi="宋体" w:eastAsia="宋体" w:cs="Times New Roman"/>
          <w:sz w:val="24"/>
          <w:szCs w:val="24"/>
        </w:rPr>
        <w:t>（3）本合同执行中共同签署的补充与修正文件。</w:t>
      </w:r>
    </w:p>
    <w:p>
      <w:pPr>
        <w:ind w:firstLine="480" w:firstLineChars="200"/>
        <w:rPr>
          <w:rFonts w:ascii="宋体" w:hAnsi="宋体" w:eastAsia="宋体" w:cs="Times New Roman"/>
          <w:sz w:val="24"/>
          <w:szCs w:val="24"/>
        </w:rPr>
      </w:pPr>
      <w:r>
        <w:rPr>
          <w:rFonts w:hint="eastAsia" w:ascii="宋体" w:hAnsi="宋体" w:eastAsia="宋体" w:cs="Times New Roman"/>
          <w:sz w:val="24"/>
          <w:szCs w:val="24"/>
        </w:rPr>
        <w:t>本合同一式份，甲、乙方双方各执份，具有同等法律效力。本合同自双方法人代表签字（盖章）认可之日起生效。</w:t>
      </w:r>
    </w:p>
    <w:p>
      <w:pPr>
        <w:ind w:firstLine="480" w:firstLineChars="200"/>
        <w:rPr>
          <w:rFonts w:ascii="宋体" w:hAnsi="宋体" w:eastAsia="宋体" w:cs="Times New Roman"/>
          <w:sz w:val="24"/>
          <w:szCs w:val="24"/>
        </w:rPr>
      </w:pPr>
      <w:r>
        <w:rPr>
          <w:rFonts w:hint="eastAsia" w:ascii="宋体" w:hAnsi="宋体" w:eastAsia="宋体" w:cs="Times New Roman"/>
          <w:sz w:val="24"/>
          <w:szCs w:val="24"/>
        </w:rPr>
        <w:t>本合同未尽事宜，双方友好协商，达成解决方案，经双方签字后，可作为本合同的有效附件。</w:t>
      </w:r>
    </w:p>
    <w:p>
      <w:pPr>
        <w:ind w:firstLine="480" w:firstLineChars="200"/>
        <w:rPr>
          <w:rFonts w:ascii="宋体" w:hAnsi="宋体" w:eastAsia="宋体" w:cs="Times New Roman"/>
          <w:sz w:val="24"/>
          <w:szCs w:val="24"/>
        </w:rPr>
      </w:pPr>
    </w:p>
    <w:p>
      <w:pPr>
        <w:ind w:firstLine="480" w:firstLineChars="200"/>
        <w:rPr>
          <w:rFonts w:ascii="宋体" w:hAnsi="宋体" w:eastAsia="宋体" w:cs="Times New Roman"/>
          <w:sz w:val="24"/>
          <w:szCs w:val="24"/>
        </w:rPr>
      </w:pPr>
    </w:p>
    <w:p>
      <w:pPr>
        <w:spacing w:line="360" w:lineRule="auto"/>
        <w:ind w:firstLine="560"/>
        <w:jc w:val="left"/>
        <w:rPr>
          <w:rFonts w:ascii="宋体" w:hAnsi="宋体" w:eastAsia="宋体" w:cs="Times New Roman"/>
          <w:sz w:val="24"/>
          <w:szCs w:val="24"/>
        </w:rPr>
      </w:pPr>
      <w:r>
        <w:rPr>
          <w:rFonts w:hint="eastAsia" w:ascii="宋体" w:hAnsi="宋体" w:eastAsia="宋体" w:cs="Times New Roman"/>
          <w:sz w:val="24"/>
          <w:szCs w:val="24"/>
        </w:rPr>
        <w:t>甲方（采购人）：   （盖章）       乙方（供应商）：    （盖章）</w:t>
      </w:r>
    </w:p>
    <w:p>
      <w:pPr>
        <w:spacing w:line="360" w:lineRule="auto"/>
        <w:ind w:firstLine="560"/>
        <w:jc w:val="left"/>
        <w:rPr>
          <w:rFonts w:ascii="宋体" w:hAnsi="宋体" w:eastAsia="宋体" w:cs="Times New Roman"/>
          <w:sz w:val="24"/>
          <w:szCs w:val="24"/>
        </w:rPr>
      </w:pPr>
      <w:r>
        <w:rPr>
          <w:rFonts w:hint="eastAsia" w:ascii="宋体" w:hAnsi="宋体" w:eastAsia="宋体" w:cs="Times New Roman"/>
          <w:sz w:val="24"/>
          <w:szCs w:val="24"/>
        </w:rPr>
        <w:t xml:space="preserve">法定代表人：                     法定代表人： </w:t>
      </w:r>
    </w:p>
    <w:p>
      <w:pPr>
        <w:spacing w:line="360" w:lineRule="auto"/>
        <w:ind w:firstLine="560"/>
        <w:jc w:val="left"/>
        <w:rPr>
          <w:rFonts w:ascii="宋体" w:hAnsi="宋体" w:eastAsia="宋体" w:cs="Times New Roman"/>
          <w:sz w:val="24"/>
          <w:szCs w:val="24"/>
        </w:rPr>
      </w:pPr>
      <w:r>
        <w:rPr>
          <w:rFonts w:hint="eastAsia" w:ascii="宋体" w:hAnsi="宋体" w:eastAsia="宋体" w:cs="Times New Roman"/>
          <w:sz w:val="24"/>
          <w:szCs w:val="24"/>
        </w:rPr>
        <w:t>委托代理人：                     委托代理人：</w:t>
      </w:r>
    </w:p>
    <w:p>
      <w:pPr>
        <w:ind w:firstLine="480" w:firstLineChars="200"/>
        <w:rPr>
          <w:rFonts w:ascii="宋体" w:hAnsi="宋体" w:eastAsia="宋体" w:cs="Times New Roman"/>
          <w:sz w:val="24"/>
          <w:szCs w:val="24"/>
        </w:rPr>
      </w:pPr>
      <w:r>
        <w:rPr>
          <w:rFonts w:hint="eastAsia" w:ascii="宋体" w:hAnsi="宋体" w:eastAsia="宋体" w:cs="Times New Roman"/>
          <w:sz w:val="24"/>
          <w:szCs w:val="24"/>
        </w:rPr>
        <w:t>日期：   年     月    日         日期：   年     月    日</w:t>
      </w:r>
    </w:p>
    <w:p>
      <w:pPr>
        <w:snapToGrid w:val="0"/>
        <w:spacing w:line="300" w:lineRule="auto"/>
        <w:rPr>
          <w:rFonts w:ascii="仿宋_GB2312" w:hAnsi="华文仿宋" w:eastAsia="仿宋_GB2312" w:cs="Times New Roman"/>
          <w:sz w:val="28"/>
        </w:rPr>
      </w:pPr>
    </w:p>
    <w:p>
      <w:pPr>
        <w:widowControl/>
        <w:jc w:val="left"/>
        <w:rPr>
          <w:rFonts w:ascii="Arial" w:hAnsi="Arial" w:eastAsia="宋体" w:cs="Times New Roman"/>
          <w:color w:val="FF0000"/>
          <w:szCs w:val="24"/>
        </w:rPr>
      </w:pPr>
    </w:p>
    <w:p>
      <w:pPr>
        <w:widowControl/>
        <w:jc w:val="left"/>
        <w:rPr>
          <w:b/>
          <w:color w:val="FF0000"/>
          <w:sz w:val="52"/>
          <w:szCs w:val="52"/>
        </w:rPr>
      </w:pPr>
      <w:r>
        <w:rPr>
          <w:b/>
          <w:color w:val="FF0000"/>
          <w:sz w:val="52"/>
          <w:szCs w:val="52"/>
        </w:rPr>
        <w:br w:type="page"/>
      </w:r>
    </w:p>
    <w:p>
      <w:pPr>
        <w:keepNext/>
        <w:keepLines/>
        <w:spacing w:before="340" w:afterLines="25" w:line="578" w:lineRule="auto"/>
        <w:jc w:val="center"/>
        <w:outlineLvl w:val="0"/>
        <w:rPr>
          <w:rFonts w:ascii="Arial" w:hAnsi="Arial" w:eastAsia="宋体" w:cs="Times New Roman"/>
          <w:b/>
          <w:bCs/>
          <w:kern w:val="44"/>
          <w:sz w:val="32"/>
          <w:szCs w:val="32"/>
        </w:rPr>
      </w:pPr>
      <w:r>
        <w:rPr>
          <w:rFonts w:hint="eastAsia" w:ascii="Arial" w:hAnsi="Arial" w:eastAsia="宋体" w:cs="Times New Roman"/>
          <w:b/>
          <w:bCs/>
          <w:kern w:val="44"/>
          <w:sz w:val="32"/>
          <w:szCs w:val="32"/>
        </w:rPr>
        <w:t>第二册  通用条款（公开招标）</w:t>
      </w:r>
    </w:p>
    <w:p>
      <w:pPr>
        <w:pStyle w:val="27"/>
        <w:keepNext/>
        <w:keepLines/>
        <w:numPr>
          <w:ilvl w:val="0"/>
          <w:numId w:val="3"/>
        </w:numPr>
        <w:tabs>
          <w:tab w:val="left" w:pos="720"/>
        </w:tabs>
        <w:adjustRightInd w:val="0"/>
        <w:spacing w:beforeLines="50" w:afterLines="50"/>
        <w:ind w:firstLineChars="0"/>
        <w:jc w:val="center"/>
        <w:textAlignment w:val="baseline"/>
        <w:outlineLvl w:val="1"/>
        <w:rPr>
          <w:rFonts w:asciiTheme="majorHAnsi" w:hAnsiTheme="majorHAnsi" w:eastAsiaTheme="majorEastAsia" w:cstheme="majorBidi"/>
          <w:b/>
          <w:bCs/>
          <w:sz w:val="28"/>
          <w:szCs w:val="28"/>
        </w:rPr>
      </w:pPr>
      <w:bookmarkStart w:id="25" w:name="_Hlk72399513"/>
      <w:r>
        <w:rPr>
          <w:rFonts w:hint="eastAsia" w:asciiTheme="majorHAnsi" w:hAnsiTheme="majorHAnsi" w:eastAsiaTheme="majorEastAsia" w:cstheme="majorBidi"/>
          <w:b/>
          <w:bCs/>
          <w:sz w:val="28"/>
          <w:szCs w:val="28"/>
        </w:rPr>
        <w:t>总则</w:t>
      </w:r>
    </w:p>
    <w:bookmarkEnd w:id="25"/>
    <w:p>
      <w:pPr>
        <w:rPr>
          <w:rFonts w:ascii="黑体" w:hAnsi="宋体" w:eastAsia="黑体"/>
          <w:sz w:val="24"/>
        </w:rPr>
      </w:pPr>
      <w:bookmarkStart w:id="26" w:name="_Hlk72439706"/>
      <w:r>
        <w:rPr>
          <w:rFonts w:hint="eastAsia" w:ascii="黑体" w:hAnsi="宋体" w:eastAsia="黑体"/>
          <w:sz w:val="24"/>
        </w:rPr>
        <w:t>1. 通用条款说明</w:t>
      </w:r>
    </w:p>
    <w:p>
      <w:pPr>
        <w:ind w:firstLine="411" w:firstLineChars="196"/>
        <w:rPr>
          <w:rFonts w:ascii="宋体" w:hAnsi="宋体"/>
          <w:szCs w:val="21"/>
        </w:rPr>
      </w:pPr>
      <w:r>
        <w:rPr>
          <w:rFonts w:hint="eastAsia" w:ascii="宋体" w:hAnsi="宋体"/>
          <w:szCs w:val="21"/>
        </w:rPr>
        <w:t>1.1政府集中采购机构发出招标文件通用条款版本，列出深圳市政府采购项目进行招标采购所适用的通用条款内容。</w:t>
      </w:r>
      <w:bookmarkStart w:id="27" w:name="_Hlk72399729"/>
      <w:r>
        <w:rPr>
          <w:rFonts w:hint="eastAsia" w:ascii="宋体" w:hAnsi="宋体"/>
          <w:szCs w:val="21"/>
        </w:rPr>
        <w:t>如有需要，政府集中采购机构可以对通用条款的内容进行补充。</w:t>
      </w:r>
      <w:bookmarkEnd w:id="27"/>
    </w:p>
    <w:p>
      <w:pPr>
        <w:ind w:firstLine="411" w:firstLineChars="196"/>
        <w:rPr>
          <w:rFonts w:ascii="宋体" w:hAnsi="宋体"/>
          <w:szCs w:val="21"/>
        </w:rPr>
      </w:pPr>
      <w:r>
        <w:rPr>
          <w:rFonts w:hint="eastAsia" w:ascii="宋体" w:hAnsi="宋体"/>
          <w:szCs w:val="21"/>
        </w:rPr>
        <w:t>1.2招标文件分为第一册“专用条款”和第二册“通用条款”。</w:t>
      </w:r>
    </w:p>
    <w:p>
      <w:pPr>
        <w:ind w:firstLine="411" w:firstLineChars="196"/>
        <w:rPr>
          <w:rFonts w:ascii="宋体" w:hAnsi="宋体"/>
          <w:szCs w:val="21"/>
        </w:rPr>
      </w:pPr>
      <w:r>
        <w:rPr>
          <w:rFonts w:hint="eastAsia" w:ascii="宋体" w:hAnsi="宋体"/>
          <w:szCs w:val="21"/>
        </w:rPr>
        <w:t>1.3“专用条款”是对本次采购项目的具体要求，包含招标公告、对通用条款的补充内容及其他关键信息、用户需求书、投标文件格式及附件、合同条款及格式等内容。</w:t>
      </w:r>
    </w:p>
    <w:p>
      <w:pPr>
        <w:ind w:firstLine="411" w:firstLineChars="196"/>
        <w:rPr>
          <w:rFonts w:ascii="宋体" w:hAnsi="宋体"/>
          <w:szCs w:val="21"/>
        </w:rPr>
      </w:pPr>
      <w:r>
        <w:rPr>
          <w:rFonts w:hint="eastAsia" w:ascii="宋体" w:hAnsi="宋体"/>
          <w:szCs w:val="21"/>
        </w:rPr>
        <w:t>1.4“通用条款”是适用于政府采购公开招标项目的基础性条款，具有普遍性和通用性。</w:t>
      </w:r>
    </w:p>
    <w:p>
      <w:pPr>
        <w:ind w:firstLine="411" w:firstLineChars="196"/>
        <w:rPr>
          <w:rFonts w:ascii="宋体" w:hAnsi="宋体"/>
          <w:szCs w:val="21"/>
        </w:rPr>
      </w:pPr>
      <w:r>
        <w:rPr>
          <w:rFonts w:hint="eastAsia" w:ascii="宋体" w:hAnsi="宋体"/>
          <w:szCs w:val="21"/>
        </w:rPr>
        <w:t>1.5 “专用条款”和“通用条款”表述不一致或有冲突时，以“专用条款”为准。</w:t>
      </w:r>
    </w:p>
    <w:p>
      <w:pPr>
        <w:rPr>
          <w:rFonts w:ascii="黑体" w:hAnsi="宋体" w:eastAsia="黑体"/>
          <w:sz w:val="24"/>
        </w:rPr>
      </w:pPr>
      <w:r>
        <w:rPr>
          <w:rFonts w:hint="eastAsia" w:ascii="黑体" w:hAnsi="宋体" w:eastAsia="黑体"/>
          <w:sz w:val="24"/>
        </w:rPr>
        <w:t>2</w:t>
      </w:r>
      <w:r>
        <w:rPr>
          <w:rFonts w:ascii="黑体" w:hAnsi="宋体" w:eastAsia="黑体"/>
          <w:sz w:val="24"/>
        </w:rPr>
        <w:t>．</w:t>
      </w:r>
      <w:r>
        <w:rPr>
          <w:rFonts w:hint="eastAsia" w:ascii="黑体" w:hAnsi="宋体" w:eastAsia="黑体"/>
          <w:sz w:val="24"/>
        </w:rPr>
        <w:t>招标说明</w:t>
      </w:r>
    </w:p>
    <w:p>
      <w:pPr>
        <w:ind w:firstLine="411" w:firstLineChars="196"/>
        <w:rPr>
          <w:rFonts w:ascii="宋体" w:hAnsi="宋体"/>
          <w:szCs w:val="21"/>
        </w:rPr>
      </w:pPr>
      <w:r>
        <w:rPr>
          <w:rFonts w:hint="eastAsia" w:ascii="宋体" w:hAnsi="宋体"/>
          <w:szCs w:val="21"/>
        </w:rPr>
        <w:t>本项目按照《深圳经济特区政府采购条例》、《深圳经济特区政府采购条例实施细则》及政府采购其他法律法规，通过公开招标方式确定中标供应商。</w:t>
      </w:r>
    </w:p>
    <w:p>
      <w:pPr>
        <w:rPr>
          <w:rFonts w:ascii="黑体" w:hAnsi="宋体" w:eastAsia="黑体"/>
          <w:sz w:val="24"/>
        </w:rPr>
      </w:pPr>
      <w:r>
        <w:rPr>
          <w:rFonts w:hint="eastAsia" w:ascii="黑体" w:hAnsi="宋体" w:eastAsia="黑体"/>
          <w:sz w:val="24"/>
        </w:rPr>
        <w:t>3．定义</w:t>
      </w:r>
    </w:p>
    <w:p>
      <w:pPr>
        <w:ind w:firstLine="420" w:firstLineChars="200"/>
        <w:rPr>
          <w:rFonts w:ascii="宋体" w:hAnsi="宋体"/>
          <w:szCs w:val="21"/>
        </w:rPr>
      </w:pPr>
      <w:r>
        <w:rPr>
          <w:rFonts w:ascii="宋体" w:hAnsi="宋体"/>
          <w:szCs w:val="21"/>
        </w:rPr>
        <w:t>招标文件中下列术语应解释为：</w:t>
      </w:r>
    </w:p>
    <w:p>
      <w:pPr>
        <w:ind w:firstLine="411" w:firstLineChars="196"/>
        <w:rPr>
          <w:rFonts w:ascii="宋体" w:hAnsi="宋体"/>
          <w:szCs w:val="21"/>
        </w:rPr>
      </w:pPr>
      <w:r>
        <w:rPr>
          <w:rFonts w:hint="eastAsia" w:ascii="宋体" w:hAnsi="宋体"/>
          <w:szCs w:val="21"/>
        </w:rPr>
        <w:t>3.</w:t>
      </w:r>
      <w:r>
        <w:rPr>
          <w:rFonts w:ascii="宋体" w:hAnsi="宋体"/>
          <w:szCs w:val="21"/>
        </w:rPr>
        <w:t>1</w:t>
      </w:r>
      <w:r>
        <w:rPr>
          <w:rFonts w:hint="eastAsia" w:ascii="宋体" w:hAnsi="宋体"/>
          <w:szCs w:val="21"/>
        </w:rPr>
        <w:t>“采购人”：指利用财政性资金依法进行政府采购的国家机关、事业单位、团体组织；</w:t>
      </w:r>
    </w:p>
    <w:p>
      <w:pPr>
        <w:ind w:firstLine="411" w:firstLineChars="196"/>
        <w:rPr>
          <w:rFonts w:ascii="宋体" w:hAnsi="宋体"/>
          <w:szCs w:val="21"/>
        </w:rPr>
      </w:pPr>
      <w:r>
        <w:rPr>
          <w:rFonts w:hint="eastAsia" w:ascii="宋体" w:hAnsi="宋体"/>
          <w:szCs w:val="21"/>
        </w:rPr>
        <w:t>3.2 “政府集中采购机构”</w:t>
      </w:r>
      <w:r>
        <w:rPr>
          <w:rFonts w:hint="eastAsia" w:ascii="Arial" w:hAnsi="Arial" w:cs="Arial"/>
          <w:szCs w:val="21"/>
          <w:shd w:val="clear" w:color="auto" w:fill="FFFFFF"/>
        </w:rPr>
        <w:t>是指市政府设立的，组织实施政府采购项目，并对政府采购活动提供服务的专门机构；</w:t>
      </w:r>
      <w:r>
        <w:rPr>
          <w:rFonts w:hint="eastAsia" w:ascii="宋体" w:hAnsi="宋体"/>
          <w:szCs w:val="21"/>
        </w:rPr>
        <w:t>本文件所述的“政府集中采购机构”</w:t>
      </w:r>
      <w:r>
        <w:rPr>
          <w:rFonts w:ascii="宋体" w:hAnsi="宋体"/>
          <w:szCs w:val="21"/>
        </w:rPr>
        <w:t>指</w:t>
      </w:r>
      <w:r>
        <w:rPr>
          <w:rFonts w:hint="eastAsia" w:ascii="宋体" w:hAnsi="宋体"/>
          <w:b/>
          <w:bCs/>
          <w:szCs w:val="21"/>
        </w:rPr>
        <w:t>深圳公共资源交易中心</w:t>
      </w:r>
      <w:r>
        <w:rPr>
          <w:rFonts w:hint="eastAsia" w:ascii="宋体" w:hAnsi="宋体"/>
          <w:szCs w:val="21"/>
        </w:rPr>
        <w:t>；</w:t>
      </w:r>
    </w:p>
    <w:p>
      <w:pPr>
        <w:ind w:firstLine="411" w:firstLineChars="196"/>
        <w:rPr>
          <w:rFonts w:ascii="宋体" w:hAnsi="宋体"/>
          <w:szCs w:val="21"/>
        </w:rPr>
      </w:pPr>
      <w:r>
        <w:rPr>
          <w:rFonts w:hint="eastAsia" w:ascii="宋体" w:hAnsi="宋体"/>
          <w:szCs w:val="21"/>
        </w:rPr>
        <w:t>3.3“投标人”，即供应商，指参加投标竞争并愿意按照招标文件要求向采购人提供货物、工程或者服务的依法成立的法人、其他组织或者自然人；</w:t>
      </w:r>
    </w:p>
    <w:p>
      <w:pPr>
        <w:ind w:firstLine="411" w:firstLineChars="196"/>
        <w:rPr>
          <w:rFonts w:ascii="宋体" w:hAnsi="宋体"/>
          <w:szCs w:val="21"/>
        </w:rPr>
      </w:pPr>
      <w:r>
        <w:rPr>
          <w:rFonts w:hint="eastAsia" w:ascii="宋体" w:hAnsi="宋体"/>
          <w:szCs w:val="21"/>
        </w:rPr>
        <w:t>3.4“评审委员会”是依据《深圳经济特区政府采购条例》、《深圳经济特区政府采购条例实施细则》等有关规定组建的专门负责本次招标其评审工作的临时性机构；</w:t>
      </w:r>
    </w:p>
    <w:p>
      <w:pPr>
        <w:ind w:firstLine="411" w:firstLineChars="196"/>
        <w:rPr>
          <w:rFonts w:ascii="宋体" w:hAnsi="宋体"/>
          <w:szCs w:val="21"/>
        </w:rPr>
      </w:pPr>
      <w:r>
        <w:rPr>
          <w:rFonts w:hint="eastAsia" w:ascii="宋体" w:hAnsi="宋体"/>
          <w:szCs w:val="21"/>
        </w:rPr>
        <w:t>3.5“日期”</w:t>
      </w:r>
      <w:r>
        <w:rPr>
          <w:rFonts w:ascii="宋体" w:hAnsi="宋体"/>
          <w:szCs w:val="21"/>
        </w:rPr>
        <w:t>指</w:t>
      </w:r>
      <w:r>
        <w:rPr>
          <w:rFonts w:hint="eastAsia" w:ascii="宋体" w:hAnsi="宋体"/>
          <w:szCs w:val="21"/>
        </w:rPr>
        <w:t>公历日；</w:t>
      </w:r>
    </w:p>
    <w:p>
      <w:pPr>
        <w:ind w:firstLine="411" w:firstLineChars="196"/>
        <w:rPr>
          <w:rFonts w:ascii="宋体" w:hAnsi="宋体"/>
          <w:szCs w:val="21"/>
        </w:rPr>
      </w:pPr>
      <w:r>
        <w:rPr>
          <w:rFonts w:hint="eastAsia" w:ascii="宋体" w:hAnsi="宋体"/>
          <w:szCs w:val="21"/>
        </w:rPr>
        <w:t>3.6“合同”指由本次招标所产生的合同或合约文件；</w:t>
      </w:r>
    </w:p>
    <w:p>
      <w:pPr>
        <w:ind w:firstLine="411" w:firstLineChars="196"/>
        <w:rPr>
          <w:rFonts w:ascii="宋体" w:hAnsi="宋体"/>
          <w:szCs w:val="21"/>
        </w:rPr>
      </w:pPr>
      <w:r>
        <w:rPr>
          <w:rFonts w:hint="eastAsia" w:ascii="宋体" w:hAnsi="宋体"/>
          <w:szCs w:val="21"/>
        </w:rPr>
        <w:t>3.7“电子投标文件”指利用</w:t>
      </w:r>
      <w:r>
        <w:rPr>
          <w:rFonts w:hint="eastAsia" w:ascii="宋体" w:hAnsi="宋体"/>
          <w:b/>
          <w:bCs/>
          <w:color w:val="FF0000"/>
          <w:szCs w:val="21"/>
        </w:rPr>
        <w:t>深圳公共资源交易中心（深圳交易集团有限公司宝安分公司）</w:t>
      </w:r>
      <w:r>
        <w:rPr>
          <w:rFonts w:hint="eastAsia" w:ascii="宋体" w:hAnsi="宋体"/>
          <w:szCs w:val="21"/>
        </w:rPr>
        <w:t>网站提供的深圳市自行采购系统投标文件制作专用软件（以下简称：投标文件制作软件）制作并加密的投标文件,适用于网上投标；（投标文件制作软件可从“下载地址：https://www.szggzy.com/jyfw/details.html?contentId=2053275深圳市自行采购系统投标文件编制工具”下载）</w:t>
      </w:r>
    </w:p>
    <w:p>
      <w:pPr>
        <w:ind w:firstLine="411" w:firstLineChars="196"/>
        <w:rPr>
          <w:rFonts w:ascii="宋体" w:hAnsi="宋体"/>
          <w:szCs w:val="21"/>
        </w:rPr>
      </w:pPr>
      <w:r>
        <w:rPr>
          <w:rFonts w:hint="eastAsia" w:ascii="宋体" w:hAnsi="宋体"/>
          <w:szCs w:val="21"/>
        </w:rPr>
        <w:t>3.8“网上投标”指通过</w:t>
      </w:r>
      <w:r>
        <w:rPr>
          <w:rFonts w:hint="eastAsia" w:ascii="宋体" w:hAnsi="宋体"/>
          <w:b/>
          <w:bCs/>
          <w:color w:val="FF0000"/>
          <w:szCs w:val="21"/>
        </w:rPr>
        <w:t>深圳公共资源交易中心（深圳交易集团有限公司宝安分公司）</w:t>
      </w:r>
      <w:r>
        <w:rPr>
          <w:rFonts w:hint="eastAsia" w:ascii="宋体" w:hAnsi="宋体"/>
          <w:szCs w:val="21"/>
        </w:rPr>
        <w:t>网站上传电子投标文件；</w:t>
      </w:r>
    </w:p>
    <w:p>
      <w:pPr>
        <w:ind w:firstLine="411" w:firstLineChars="196"/>
        <w:rPr>
          <w:rFonts w:ascii="宋体" w:hAnsi="宋体"/>
          <w:szCs w:val="21"/>
        </w:rPr>
      </w:pPr>
      <w:r>
        <w:rPr>
          <w:rFonts w:hint="eastAsia" w:ascii="宋体" w:hAnsi="宋体"/>
          <w:szCs w:val="21"/>
        </w:rPr>
        <w:t>3.9招标文件中的标题或题名仅起引导作用，而不应视为对招标文件内容的理解和解释。</w:t>
      </w:r>
    </w:p>
    <w:p>
      <w:pPr>
        <w:rPr>
          <w:rFonts w:ascii="黑体" w:hAnsi="宋体" w:eastAsia="黑体"/>
          <w:sz w:val="24"/>
        </w:rPr>
      </w:pPr>
      <w:r>
        <w:rPr>
          <w:rFonts w:hint="eastAsia" w:ascii="黑体" w:hAnsi="宋体" w:eastAsia="黑体"/>
          <w:sz w:val="24"/>
        </w:rPr>
        <w:t xml:space="preserve">4. </w:t>
      </w:r>
      <w:bookmarkStart w:id="28" w:name="_Hlk72398643"/>
      <w:r>
        <w:rPr>
          <w:rFonts w:hint="eastAsia" w:ascii="黑体" w:hAnsi="宋体" w:eastAsia="黑体"/>
          <w:sz w:val="24"/>
        </w:rPr>
        <w:t>政府采购供应商责任</w:t>
      </w:r>
    </w:p>
    <w:p>
      <w:pPr>
        <w:ind w:firstLine="411" w:firstLineChars="196"/>
        <w:rPr>
          <w:rFonts w:ascii="宋体" w:hAnsi="宋体"/>
          <w:szCs w:val="21"/>
        </w:rPr>
      </w:pPr>
      <w:r>
        <w:rPr>
          <w:rFonts w:hint="eastAsia" w:ascii="宋体" w:hAnsi="宋体"/>
          <w:szCs w:val="21"/>
        </w:rPr>
        <w:t>4.1欢迎诚信、有实力和有社会责任心的供应商参与政府采购事业。</w:t>
      </w:r>
    </w:p>
    <w:p>
      <w:pPr>
        <w:ind w:firstLine="411" w:firstLineChars="196"/>
        <w:rPr>
          <w:rFonts w:ascii="宋体" w:hAnsi="宋体"/>
          <w:szCs w:val="21"/>
        </w:rPr>
      </w:pPr>
      <w:r>
        <w:rPr>
          <w:rFonts w:hint="eastAsia" w:ascii="宋体" w:hAnsi="宋体"/>
          <w:szCs w:val="21"/>
        </w:rPr>
        <w:t>4.2投标人应当遵循公平竞争的原则，不得恶意串通，不得妨碍其他投标人的竞争行为，不得损害采购人或者其他投标人的合法权益。如违反上述要求，经核实后，供应商的投标无效。</w:t>
      </w:r>
    </w:p>
    <w:p>
      <w:pPr>
        <w:rPr>
          <w:rFonts w:ascii="黑体" w:hAnsi="宋体" w:eastAsia="黑体"/>
          <w:sz w:val="24"/>
        </w:rPr>
      </w:pPr>
      <w:r>
        <w:rPr>
          <w:rFonts w:hint="eastAsia" w:ascii="黑体" w:hAnsi="宋体" w:eastAsia="黑体"/>
          <w:sz w:val="24"/>
        </w:rPr>
        <w:t>5．投标人参加政府采购的条件</w:t>
      </w:r>
    </w:p>
    <w:p>
      <w:pPr>
        <w:ind w:firstLine="411" w:firstLineChars="196"/>
        <w:jc w:val="left"/>
        <w:rPr>
          <w:rFonts w:ascii="宋体" w:hAnsi="宋体"/>
          <w:szCs w:val="21"/>
        </w:rPr>
      </w:pPr>
      <w:r>
        <w:rPr>
          <w:rFonts w:hint="eastAsia" w:ascii="宋体" w:hAnsi="宋体"/>
          <w:szCs w:val="21"/>
        </w:rPr>
        <w:t>5.1投标人应在投标前到</w:t>
      </w:r>
      <w:r>
        <w:rPr>
          <w:rFonts w:hint="eastAsia" w:ascii="宋体" w:hAnsi="宋体"/>
          <w:b/>
          <w:bCs/>
          <w:szCs w:val="21"/>
        </w:rPr>
        <w:t>深圳公共资源交易中心（具体在深圳交易集团有限公司政府采购业务分公司进行办理）</w:t>
      </w:r>
      <w:r>
        <w:rPr>
          <w:rFonts w:hint="eastAsia" w:ascii="宋体" w:hAnsi="宋体"/>
          <w:szCs w:val="21"/>
        </w:rPr>
        <w:t>进行注册并办理电子密钥。《供应商注册及信息变更指引》详见www.szggzy.com网站“交易服务指南-政府采购”。</w:t>
      </w:r>
    </w:p>
    <w:p>
      <w:pPr>
        <w:ind w:firstLine="411" w:firstLineChars="196"/>
        <w:rPr>
          <w:rFonts w:ascii="宋体" w:hAnsi="宋体"/>
          <w:szCs w:val="21"/>
        </w:rPr>
      </w:pPr>
      <w:r>
        <w:rPr>
          <w:rFonts w:hint="eastAsia" w:ascii="宋体" w:hAnsi="宋体"/>
          <w:szCs w:val="21"/>
        </w:rPr>
        <w:t>5.2投标人资格要求</w:t>
      </w:r>
    </w:p>
    <w:p>
      <w:pPr>
        <w:ind w:firstLine="411" w:firstLineChars="196"/>
        <w:rPr>
          <w:rFonts w:ascii="宋体" w:hAnsi="宋体"/>
          <w:szCs w:val="21"/>
        </w:rPr>
      </w:pPr>
      <w:r>
        <w:rPr>
          <w:rFonts w:hint="eastAsia" w:ascii="宋体" w:hAnsi="宋体"/>
          <w:szCs w:val="21"/>
        </w:rPr>
        <w:t>参加本项目的投标人应具备的资格条件详见本项目招标公告中 “投标人资格要求”（即申请人的资格要求）的内容。</w:t>
      </w:r>
    </w:p>
    <w:p>
      <w:pPr>
        <w:ind w:firstLine="411" w:firstLineChars="196"/>
        <w:rPr>
          <w:rFonts w:ascii="宋体" w:hAnsi="宋体"/>
          <w:szCs w:val="21"/>
        </w:rPr>
      </w:pPr>
      <w:r>
        <w:rPr>
          <w:rFonts w:hint="eastAsia" w:ascii="宋体" w:hAnsi="宋体"/>
          <w:szCs w:val="21"/>
        </w:rPr>
        <w:t>5.3联合体投标</w:t>
      </w:r>
    </w:p>
    <w:p>
      <w:pPr>
        <w:ind w:firstLine="411" w:firstLineChars="196"/>
        <w:rPr>
          <w:rFonts w:ascii="宋体" w:hAnsi="宋体"/>
          <w:szCs w:val="21"/>
        </w:rPr>
      </w:pPr>
      <w:r>
        <w:rPr>
          <w:rFonts w:hint="eastAsia" w:ascii="宋体" w:hAnsi="宋体"/>
          <w:szCs w:val="21"/>
        </w:rPr>
        <w:t>5.3.1　以下有关联合体投标的条款仅适用于允许投标人组成联合体投标的项目。</w:t>
      </w:r>
    </w:p>
    <w:p>
      <w:pPr>
        <w:ind w:firstLine="411" w:firstLineChars="196"/>
        <w:rPr>
          <w:rFonts w:ascii="宋体" w:hAnsi="宋体"/>
          <w:szCs w:val="21"/>
        </w:rPr>
      </w:pPr>
      <w:r>
        <w:rPr>
          <w:rFonts w:hint="eastAsia" w:ascii="宋体" w:hAnsi="宋体"/>
          <w:szCs w:val="21"/>
        </w:rPr>
        <w:t>5.3.2  由两个或两个以上的自然人、法人或者其他组织可以组成一个联合体，以一个供应商的身份共同投标时，应符合以下原则：</w:t>
      </w:r>
    </w:p>
    <w:p>
      <w:pPr>
        <w:ind w:firstLine="411" w:firstLineChars="196"/>
        <w:rPr>
          <w:rFonts w:ascii="宋体" w:hAnsi="宋体"/>
        </w:rPr>
      </w:pPr>
      <w:r>
        <w:rPr>
          <w:rFonts w:hint="eastAsia" w:ascii="宋体" w:hAnsi="宋体"/>
        </w:rPr>
        <w:t>（1）投标联合体各方参加政府采购活动应当具备下列条件：</w:t>
      </w:r>
    </w:p>
    <w:p>
      <w:pPr>
        <w:ind w:left="420" w:leftChars="200" w:firstLine="411" w:firstLineChars="196"/>
        <w:rPr>
          <w:rFonts w:ascii="宋体" w:hAnsi="宋体"/>
        </w:rPr>
      </w:pPr>
      <w:r>
        <w:rPr>
          <w:rFonts w:hint="eastAsia" w:ascii="宋体" w:hAnsi="宋体"/>
        </w:rPr>
        <w:t>1、具有独立承担民事责任的能力；</w:t>
      </w:r>
    </w:p>
    <w:p>
      <w:pPr>
        <w:ind w:left="420" w:firstLine="411" w:firstLineChars="196"/>
        <w:rPr>
          <w:rFonts w:ascii="宋体" w:hAnsi="宋体"/>
        </w:rPr>
      </w:pPr>
      <w:r>
        <w:rPr>
          <w:rFonts w:hint="eastAsia" w:ascii="宋体" w:hAnsi="宋体"/>
        </w:rPr>
        <w:t>2、有良好的商业信誉和健全的财务会计制度；</w:t>
      </w:r>
    </w:p>
    <w:p>
      <w:pPr>
        <w:ind w:left="420" w:leftChars="200" w:firstLine="411" w:firstLineChars="196"/>
        <w:rPr>
          <w:rFonts w:ascii="宋体" w:hAnsi="宋体"/>
        </w:rPr>
      </w:pPr>
      <w:r>
        <w:rPr>
          <w:rFonts w:hint="eastAsia" w:ascii="宋体" w:hAnsi="宋体"/>
        </w:rPr>
        <w:t>3、具有履行合同所必需的设备和专业技术能力；</w:t>
      </w:r>
    </w:p>
    <w:p>
      <w:pPr>
        <w:ind w:left="420" w:leftChars="200" w:firstLine="411" w:firstLineChars="196"/>
        <w:rPr>
          <w:rFonts w:ascii="宋体" w:hAnsi="宋体"/>
        </w:rPr>
      </w:pPr>
      <w:r>
        <w:rPr>
          <w:rFonts w:hint="eastAsia" w:ascii="宋体" w:hAnsi="宋体"/>
        </w:rPr>
        <w:t>4、有依法缴纳税收和社会保障资金的良好记录；</w:t>
      </w:r>
    </w:p>
    <w:p>
      <w:pPr>
        <w:ind w:left="420" w:leftChars="200" w:firstLine="411" w:firstLineChars="196"/>
        <w:rPr>
          <w:rFonts w:ascii="宋体" w:hAnsi="宋体"/>
        </w:rPr>
      </w:pPr>
      <w:r>
        <w:rPr>
          <w:rFonts w:hint="eastAsia" w:ascii="宋体" w:hAnsi="宋体"/>
        </w:rPr>
        <w:t>5、参加政府采购活动前三年内，在经营活动中没有重大违法记录；</w:t>
      </w:r>
    </w:p>
    <w:p>
      <w:pPr>
        <w:ind w:left="420" w:leftChars="200" w:firstLine="411" w:firstLineChars="196"/>
        <w:rPr>
          <w:rFonts w:ascii="宋体" w:hAnsi="宋体"/>
        </w:rPr>
      </w:pPr>
      <w:r>
        <w:rPr>
          <w:rFonts w:hint="eastAsia" w:ascii="宋体" w:hAnsi="宋体"/>
        </w:rPr>
        <w:t>6、法律、行政法规规定的其他条件。</w:t>
      </w:r>
    </w:p>
    <w:p>
      <w:pPr>
        <w:ind w:firstLine="411" w:firstLineChars="196"/>
        <w:rPr>
          <w:rFonts w:ascii="宋体" w:hAnsi="宋体"/>
        </w:rPr>
      </w:pPr>
      <w:r>
        <w:rPr>
          <w:rFonts w:hint="eastAsia" w:ascii="宋体" w:hAnsi="宋体"/>
        </w:rPr>
        <w:t>（2）在投标截止前，投标联合体各方均应注册成政府集中采购机构供应商；</w:t>
      </w:r>
    </w:p>
    <w:p>
      <w:pPr>
        <w:ind w:firstLine="411" w:firstLineChars="196"/>
        <w:rPr>
          <w:rFonts w:ascii="宋体" w:hAnsi="宋体"/>
        </w:rPr>
      </w:pPr>
      <w:r>
        <w:rPr>
          <w:rFonts w:hint="eastAsia" w:ascii="宋体" w:hAnsi="宋体"/>
        </w:rPr>
        <w:t>（3）联合体中有同类资质的供应商按照联合体分工承担相同工作的，应当按照资质等级较低的供应商确定资质等级；</w:t>
      </w:r>
    </w:p>
    <w:p>
      <w:pPr>
        <w:ind w:firstLine="411" w:firstLineChars="196"/>
      </w:pPr>
      <w:r>
        <w:rPr>
          <w:rFonts w:hint="eastAsia"/>
        </w:rPr>
        <w:t>（4）是否允许联合体参加投标，应当由采购人和采购代理机构根据项目的实际情况和潜在供应商的数量自主决定，如果决定接受联合体投标则应当在招标公告中明示；</w:t>
      </w:r>
    </w:p>
    <w:p>
      <w:pPr>
        <w:ind w:firstLine="411" w:firstLineChars="196"/>
        <w:rPr>
          <w:rFonts w:ascii="宋体" w:hAnsi="宋体"/>
        </w:rPr>
      </w:pPr>
      <w:r>
        <w:rPr>
          <w:rFonts w:hint="eastAsia" w:ascii="宋体" w:hAnsi="宋体"/>
        </w:rPr>
        <w:t>（5）投标人的投标文件及中标后签署的合同协议对联合体各方均具法律约束力；</w:t>
      </w:r>
    </w:p>
    <w:p>
      <w:pPr>
        <w:ind w:firstLine="411" w:firstLineChars="196"/>
        <w:rPr>
          <w:rFonts w:ascii="宋体" w:hAnsi="宋体"/>
        </w:rPr>
      </w:pPr>
      <w:r>
        <w:rPr>
          <w:rFonts w:hint="eastAsia" w:ascii="宋体" w:hAnsi="宋体"/>
        </w:rPr>
        <w:t>（6）联合体各方应当签订联合体投标协议，明确约定各方拟承担的工作和责任，并将该协议随投标文件一并递交给政府集中采购机构；</w:t>
      </w:r>
    </w:p>
    <w:p>
      <w:pPr>
        <w:ind w:firstLine="411" w:firstLineChars="196"/>
        <w:rPr>
          <w:rFonts w:ascii="宋体" w:hAnsi="宋体"/>
        </w:rPr>
      </w:pPr>
      <w:r>
        <w:rPr>
          <w:rFonts w:hint="eastAsia" w:ascii="宋体" w:hAnsi="宋体"/>
        </w:rPr>
        <w:t>（7）联合体中标后，联合体各方应当共同与采购人签订合同，就中标项目向采购人承担连带责任；</w:t>
      </w:r>
    </w:p>
    <w:p>
      <w:pPr>
        <w:ind w:firstLine="411" w:firstLineChars="196"/>
        <w:rPr>
          <w:rFonts w:ascii="宋体" w:hAnsi="宋体"/>
        </w:rPr>
      </w:pPr>
      <w:r>
        <w:rPr>
          <w:rFonts w:hint="eastAsia" w:ascii="宋体" w:hAnsi="宋体"/>
        </w:rPr>
        <w:t>（8）以联合体形式参加政府采购活动的，联合体各方不得再单独参加或者与其他供应商另外组成联合体参加同一合同项下的政府采购活动，出现上述情况者，其投标和与此有关联合体、总包单位的投标将被拒绝；</w:t>
      </w:r>
    </w:p>
    <w:p>
      <w:pPr>
        <w:ind w:firstLine="411" w:firstLineChars="196"/>
        <w:rPr>
          <w:rFonts w:ascii="宋体" w:hAnsi="宋体"/>
          <w:szCs w:val="21"/>
        </w:rPr>
      </w:pPr>
      <w:r>
        <w:rPr>
          <w:rFonts w:hint="eastAsia" w:ascii="宋体" w:hAnsi="宋体"/>
        </w:rPr>
        <w:t>（9）本通用条款中“投标人”一词亦指联合体各方，专用条款另有规定或说明的除外。</w:t>
      </w:r>
    </w:p>
    <w:p>
      <w:pPr>
        <w:rPr>
          <w:rFonts w:ascii="黑体" w:hAnsi="宋体" w:eastAsia="黑体"/>
          <w:sz w:val="24"/>
        </w:rPr>
      </w:pPr>
      <w:r>
        <w:rPr>
          <w:rFonts w:hint="eastAsia" w:ascii="黑体" w:hAnsi="宋体" w:eastAsia="黑体"/>
          <w:sz w:val="24"/>
        </w:rPr>
        <w:t>6．政策导向</w:t>
      </w:r>
    </w:p>
    <w:p>
      <w:pPr>
        <w:ind w:firstLine="411" w:firstLineChars="196"/>
        <w:rPr>
          <w:rFonts w:ascii="宋体" w:hAnsi="宋体"/>
        </w:rPr>
      </w:pPr>
      <w:r>
        <w:rPr>
          <w:rFonts w:hint="eastAsia" w:ascii="宋体" w:hAnsi="宋体"/>
        </w:rPr>
        <w:t>6.1政府采购扶持贫困地区、中小企业、监狱企业和残疾人福利性单位发展，支持节能减排、环境保护。</w:t>
      </w:r>
    </w:p>
    <w:p>
      <w:pPr>
        <w:ind w:firstLine="405"/>
        <w:rPr>
          <w:shd w:val="clear" w:color="auto" w:fill="FFFFFF"/>
        </w:rPr>
      </w:pPr>
      <w:r>
        <w:rPr>
          <w:rFonts w:hint="eastAsia" w:ascii="宋体" w:hAnsi="宋体"/>
        </w:rPr>
        <w:t>6.2本项目落实深圳市政府采购供应商诚信管理政策要求。</w:t>
      </w:r>
    </w:p>
    <w:p>
      <w:pPr>
        <w:rPr>
          <w:rFonts w:ascii="黑体" w:hAnsi="宋体" w:eastAsia="黑体"/>
          <w:sz w:val="24"/>
        </w:rPr>
      </w:pPr>
      <w:r>
        <w:rPr>
          <w:rFonts w:hint="eastAsia" w:ascii="黑体" w:hAnsi="宋体" w:eastAsia="黑体"/>
          <w:sz w:val="24"/>
        </w:rPr>
        <w:t>7. 本项目若涉及采购货物，则合格的货物及相应服务应满足以下要求：</w:t>
      </w:r>
    </w:p>
    <w:p>
      <w:pPr>
        <w:ind w:firstLine="411" w:firstLineChars="196"/>
        <w:rPr>
          <w:rFonts w:ascii="宋体" w:hAnsi="宋体"/>
        </w:rPr>
      </w:pPr>
      <w:r>
        <w:rPr>
          <w:rFonts w:hint="eastAsia" w:ascii="宋体" w:hAnsi="宋体"/>
        </w:rPr>
        <w:t>7</w:t>
      </w:r>
      <w:r>
        <w:rPr>
          <w:rFonts w:ascii="宋体" w:hAnsi="宋体"/>
        </w:rPr>
        <w:t xml:space="preserve">.1  </w:t>
      </w:r>
      <w:r>
        <w:rPr>
          <w:rFonts w:hint="eastAsia" w:ascii="宋体" w:hAnsi="宋体"/>
        </w:rPr>
        <w:t>必须是全新、未使用过的原装合格正品（包括零部件），如安装或配置了软件的，须为正版软件。</w:t>
      </w:r>
    </w:p>
    <w:p>
      <w:pPr>
        <w:ind w:firstLine="411" w:firstLineChars="196"/>
        <w:rPr>
          <w:rFonts w:ascii="宋体" w:hAnsi="宋体"/>
        </w:rPr>
      </w:pPr>
      <w:r>
        <w:rPr>
          <w:rFonts w:hint="eastAsia" w:ascii="宋体" w:hAnsi="宋体"/>
        </w:rPr>
        <w:t>7.2  国产的货物及其有关服务必须符合中华人民共和国的设计、制造生产标准及行业标准。招标公告有其他要求的，亦应符合其要求。</w:t>
      </w:r>
    </w:p>
    <w:p>
      <w:pPr>
        <w:ind w:firstLine="411" w:firstLineChars="196"/>
        <w:rPr>
          <w:rFonts w:ascii="宋体" w:hAnsi="宋体"/>
        </w:rPr>
      </w:pPr>
      <w:r>
        <w:rPr>
          <w:rFonts w:hint="eastAsia" w:ascii="宋体" w:hAnsi="宋体"/>
        </w:rPr>
        <w:t>7</w:t>
      </w:r>
      <w:r>
        <w:rPr>
          <w:rFonts w:ascii="宋体" w:hAnsi="宋体"/>
        </w:rPr>
        <w:t>.</w:t>
      </w:r>
      <w:r>
        <w:rPr>
          <w:rFonts w:hint="eastAsia" w:ascii="宋体" w:hAnsi="宋体"/>
        </w:rPr>
        <w:t>3进口货物及其有关服务必须符合原产地和中华人民共和国的设计、制造生产标准及行业标准。进口的货物必须具有合法的进口手续和途径，并通过中华人民共和国商检部门检验。招标公告有其他要求的，亦应符合其要求。</w:t>
      </w:r>
    </w:p>
    <w:p>
      <w:pPr>
        <w:ind w:firstLine="411" w:firstLineChars="196"/>
        <w:rPr>
          <w:rFonts w:ascii="宋体" w:hAnsi="宋体"/>
        </w:rPr>
      </w:pPr>
      <w:r>
        <w:rPr>
          <w:rFonts w:hint="eastAsia" w:ascii="宋体" w:hAnsi="宋体"/>
        </w:rPr>
        <w:t>7</w:t>
      </w:r>
      <w:r>
        <w:rPr>
          <w:rFonts w:ascii="宋体" w:hAnsi="宋体"/>
        </w:rPr>
        <w:t>.</w:t>
      </w:r>
      <w:r>
        <w:rPr>
          <w:rFonts w:hint="eastAsia" w:ascii="宋体" w:hAnsi="宋体"/>
        </w:rPr>
        <w:t>4投标人</w:t>
      </w:r>
      <w:bookmarkStart w:id="29" w:name="_Hlk72152753"/>
      <w:r>
        <w:rPr>
          <w:rFonts w:hint="eastAsia" w:ascii="宋体" w:hAnsi="宋体"/>
        </w:rPr>
        <w:t>应保证，其所提供的货物通过合法正规渠道供货，在提供给采购人前具有完全的所有权，采购人在中华人民共和国使用该货物或货物的任何一部分时，不会产生因第三方提出的包括但不限于侵犯其专利权、商标权、工业设计权等知识产权和侵犯其所有权、抵押权等物权及其他权利而引发的纠纷。如有纠纷，投标人应承担全部责任。</w:t>
      </w:r>
      <w:bookmarkEnd w:id="29"/>
    </w:p>
    <w:p>
      <w:pPr>
        <w:ind w:firstLine="411" w:firstLineChars="196"/>
        <w:rPr>
          <w:rFonts w:ascii="宋体" w:hAnsi="宋体"/>
        </w:rPr>
      </w:pPr>
      <w:r>
        <w:rPr>
          <w:rFonts w:hint="eastAsia" w:ascii="宋体" w:hAnsi="宋体"/>
        </w:rPr>
        <w:t>7.5  投标人应保证，其所提供的货物符合国家强制性标准要求；符合相关行业标准（如具备行政主管部门颁发的资质证书或国家质量监督部门的产品《检验报告》等）。设备到货验收时，还必须提供设备的产品合格证、质量保证文件。若中标后，除非另有约定，投标人必须按合同规定完成设备的安装，并达到验收标准。</w:t>
      </w:r>
    </w:p>
    <w:p>
      <w:pPr>
        <w:ind w:firstLine="411" w:firstLineChars="196"/>
        <w:rPr>
          <w:rFonts w:ascii="宋体" w:hAnsi="宋体"/>
        </w:rPr>
      </w:pPr>
      <w:r>
        <w:rPr>
          <w:rFonts w:hint="eastAsia" w:ascii="宋体" w:hAnsi="宋体"/>
        </w:rPr>
        <w:t>7.6  工期要求：投标人在投标时对其所投项目应提交交货进度、交货计划等，在合同规定的时间内完成项目实施工作。</w:t>
      </w:r>
    </w:p>
    <w:p>
      <w:pPr>
        <w:ind w:firstLine="411" w:firstLineChars="196"/>
        <w:rPr>
          <w:rFonts w:ascii="宋体" w:hAnsi="宋体"/>
        </w:rPr>
      </w:pPr>
      <w:r>
        <w:rPr>
          <w:rFonts w:hint="eastAsia" w:ascii="宋体" w:hAnsi="宋体"/>
        </w:rPr>
        <w:t>7.7  投标人必须承担的设备运输、安装调试、验收检测和提供设备操作说明书、图纸等其他相关及类似的义务。</w:t>
      </w:r>
    </w:p>
    <w:p>
      <w:pPr>
        <w:rPr>
          <w:rFonts w:ascii="黑体" w:hAnsi="宋体" w:eastAsia="黑体"/>
          <w:sz w:val="24"/>
        </w:rPr>
      </w:pPr>
      <w:r>
        <w:rPr>
          <w:rFonts w:hint="eastAsia" w:ascii="黑体" w:hAnsi="宋体" w:eastAsia="黑体"/>
          <w:sz w:val="24"/>
        </w:rPr>
        <w:t>8．投标费用</w:t>
      </w:r>
    </w:p>
    <w:p>
      <w:pPr>
        <w:ind w:firstLine="411" w:firstLineChars="196"/>
        <w:rPr>
          <w:rFonts w:ascii="宋体" w:hAnsi="宋体"/>
          <w:szCs w:val="21"/>
        </w:rPr>
      </w:pPr>
      <w:r>
        <w:rPr>
          <w:rFonts w:hint="eastAsia" w:ascii="宋体" w:hAnsi="宋体"/>
          <w:szCs w:val="21"/>
        </w:rPr>
        <w:t>不论投标结果如何，投标人应承担其编制投标文件与递交投标文件所涉及的一切费用。</w:t>
      </w:r>
    </w:p>
    <w:p>
      <w:pPr>
        <w:rPr>
          <w:rFonts w:ascii="黑体" w:hAnsi="宋体" w:eastAsia="黑体"/>
          <w:sz w:val="24"/>
        </w:rPr>
      </w:pPr>
      <w:r>
        <w:rPr>
          <w:rFonts w:hint="eastAsia" w:ascii="黑体" w:hAnsi="宋体" w:eastAsia="黑体"/>
          <w:sz w:val="24"/>
        </w:rPr>
        <w:t>9．踏勘现场</w:t>
      </w:r>
    </w:p>
    <w:p>
      <w:pPr>
        <w:ind w:firstLine="411" w:firstLineChars="196"/>
        <w:rPr>
          <w:rFonts w:ascii="宋体" w:hAnsi="宋体"/>
          <w:szCs w:val="21"/>
        </w:rPr>
      </w:pPr>
      <w:r>
        <w:rPr>
          <w:rFonts w:hint="eastAsia" w:ascii="宋体" w:hAnsi="宋体"/>
          <w:szCs w:val="21"/>
        </w:rPr>
        <w:t>9.1如有需要（详见专用条款），采购人或政府集中采购机构将组织投标人对项目现场及周围环境进行踏勘，以便投标人获取有关编制投标文件和签署合同所需的资料。踏勘现场所发生的费用由投标人自行承担。投标人应按招标文件所约定的时间、地点踏勘现场。</w:t>
      </w:r>
    </w:p>
    <w:p>
      <w:pPr>
        <w:ind w:firstLine="411" w:firstLineChars="196"/>
        <w:rPr>
          <w:rFonts w:ascii="宋体" w:hAnsi="宋体"/>
        </w:rPr>
      </w:pPr>
      <w:r>
        <w:rPr>
          <w:rFonts w:hint="eastAsia" w:ascii="宋体" w:hAnsi="宋体"/>
        </w:rPr>
        <w:t>9.2投标人及其人员经过采购人的允许，可以进入采购人的项目现场踏勘。若招标文件要求投标人于统一时间地点踏勘现场的，投标人应当按时前往。</w:t>
      </w:r>
    </w:p>
    <w:p>
      <w:pPr>
        <w:ind w:firstLine="411" w:firstLineChars="196"/>
        <w:rPr>
          <w:rFonts w:ascii="宋体" w:hAnsi="宋体"/>
        </w:rPr>
      </w:pPr>
      <w:r>
        <w:rPr>
          <w:rFonts w:hint="eastAsia" w:ascii="宋体" w:hAnsi="宋体"/>
        </w:rPr>
        <w:t>9.3采购人应当通过政府集中采购机构向投标人提供有关现场的书面资料和数据。</w:t>
      </w:r>
    </w:p>
    <w:p>
      <w:pPr>
        <w:ind w:firstLine="411" w:firstLineChars="196"/>
        <w:rPr>
          <w:rFonts w:ascii="宋体" w:hAnsi="宋体"/>
        </w:rPr>
      </w:pPr>
      <w:r>
        <w:rPr>
          <w:rFonts w:hint="eastAsia" w:ascii="宋体" w:hAnsi="宋体"/>
        </w:rPr>
        <w:t>9.4任何人或任何组织在踏勘现场时向投标人提供的任何书面资料或口头承诺，未经政府集中采购机构在网上发布或书面通知，均作无效处理。</w:t>
      </w:r>
    </w:p>
    <w:p>
      <w:pPr>
        <w:ind w:firstLine="411" w:firstLineChars="196"/>
        <w:rPr>
          <w:rFonts w:ascii="宋体" w:hAnsi="宋体"/>
        </w:rPr>
      </w:pPr>
      <w:r>
        <w:rPr>
          <w:rFonts w:ascii="宋体" w:hAnsi="宋体"/>
          <w:szCs w:val="21"/>
        </w:rPr>
        <w:t>9</w:t>
      </w:r>
      <w:r>
        <w:rPr>
          <w:rFonts w:hint="eastAsia" w:ascii="宋体" w:hAnsi="宋体"/>
          <w:szCs w:val="21"/>
        </w:rPr>
        <w:t>.</w:t>
      </w:r>
      <w:r>
        <w:rPr>
          <w:rFonts w:ascii="宋体" w:hAnsi="宋体"/>
          <w:szCs w:val="21"/>
        </w:rPr>
        <w:t>5</w:t>
      </w:r>
      <w:r>
        <w:rPr>
          <w:rFonts w:hint="eastAsia" w:ascii="宋体" w:hAnsi="宋体"/>
          <w:szCs w:val="21"/>
        </w:rPr>
        <w:t>未参与踏勘现场不作为否定投标人资格的理由。</w:t>
      </w:r>
    </w:p>
    <w:p>
      <w:pPr>
        <w:rPr>
          <w:rFonts w:ascii="宋体" w:hAnsi="宋体"/>
          <w:szCs w:val="21"/>
        </w:rPr>
      </w:pPr>
      <w:r>
        <w:rPr>
          <w:rFonts w:hint="eastAsia" w:ascii="黑体" w:hAnsi="宋体" w:eastAsia="黑体"/>
          <w:sz w:val="24"/>
        </w:rPr>
        <w:t>1</w:t>
      </w:r>
      <w:r>
        <w:rPr>
          <w:rFonts w:ascii="黑体" w:hAnsi="宋体" w:eastAsia="黑体"/>
          <w:sz w:val="24"/>
        </w:rPr>
        <w:t>0</w:t>
      </w:r>
      <w:r>
        <w:rPr>
          <w:rFonts w:hint="eastAsia" w:ascii="黑体" w:hAnsi="宋体" w:eastAsia="黑体"/>
          <w:sz w:val="24"/>
        </w:rPr>
        <w:t>．标前会议</w:t>
      </w:r>
    </w:p>
    <w:p>
      <w:pPr>
        <w:ind w:firstLine="411" w:firstLineChars="196"/>
        <w:rPr>
          <w:rFonts w:ascii="宋体" w:hAnsi="宋体"/>
          <w:szCs w:val="21"/>
        </w:rPr>
      </w:pPr>
      <w:r>
        <w:rPr>
          <w:rFonts w:hint="eastAsia" w:ascii="宋体" w:hAnsi="宋体"/>
          <w:szCs w:val="21"/>
        </w:rPr>
        <w:t>1</w:t>
      </w:r>
      <w:r>
        <w:rPr>
          <w:rFonts w:ascii="宋体" w:hAnsi="宋体"/>
          <w:szCs w:val="21"/>
        </w:rPr>
        <w:t>0</w:t>
      </w:r>
      <w:r>
        <w:rPr>
          <w:rFonts w:hint="eastAsia" w:ascii="宋体" w:hAnsi="宋体"/>
          <w:szCs w:val="21"/>
        </w:rPr>
        <w:t>.</w:t>
      </w:r>
      <w:r>
        <w:rPr>
          <w:rFonts w:ascii="宋体" w:hAnsi="宋体"/>
          <w:szCs w:val="21"/>
        </w:rPr>
        <w:t>1</w:t>
      </w:r>
      <w:r>
        <w:rPr>
          <w:rFonts w:hint="eastAsia" w:ascii="宋体" w:hAnsi="宋体"/>
          <w:szCs w:val="21"/>
        </w:rPr>
        <w:t>如采购人或政府集中采购机构认为有必要组织标前会议，投标人应按照招标文件规定的时间或政府集中采购机构另行书面通知（包括政府集中采购机构网站发布方式，如更正公告等）的时间和地点，参与标前会议。</w:t>
      </w:r>
    </w:p>
    <w:p>
      <w:pPr>
        <w:ind w:firstLine="411" w:firstLineChars="196"/>
        <w:rPr>
          <w:rFonts w:ascii="宋体" w:hAnsi="宋体"/>
          <w:szCs w:val="21"/>
        </w:rPr>
      </w:pPr>
      <w:r>
        <w:rPr>
          <w:rFonts w:ascii="宋体" w:hAnsi="宋体"/>
        </w:rPr>
        <w:t>10</w:t>
      </w:r>
      <w:r>
        <w:rPr>
          <w:rFonts w:hint="eastAsia" w:ascii="宋体" w:hAnsi="宋体"/>
        </w:rPr>
        <w:t>.</w:t>
      </w:r>
      <w:r>
        <w:rPr>
          <w:rFonts w:ascii="宋体" w:hAnsi="宋体"/>
        </w:rPr>
        <w:t>2</w:t>
      </w:r>
      <w:r>
        <w:rPr>
          <w:rFonts w:hint="eastAsia" w:ascii="宋体" w:hAnsi="宋体"/>
        </w:rPr>
        <w:t>任何人或任何组织在标前会议时向投标人提供的任何书面资料或口头承诺，未经政府集中采购机构在网上发布或书面通知，均作无效处理。</w:t>
      </w:r>
    </w:p>
    <w:p>
      <w:pPr>
        <w:ind w:firstLine="411" w:firstLineChars="196"/>
        <w:rPr>
          <w:rFonts w:ascii="宋体" w:hAnsi="宋体"/>
          <w:szCs w:val="21"/>
        </w:rPr>
      </w:pPr>
      <w:r>
        <w:rPr>
          <w:rFonts w:hint="eastAsia" w:ascii="宋体" w:hAnsi="宋体"/>
          <w:szCs w:val="21"/>
        </w:rPr>
        <w:t>1</w:t>
      </w:r>
      <w:r>
        <w:rPr>
          <w:rFonts w:ascii="宋体" w:hAnsi="宋体"/>
          <w:szCs w:val="21"/>
        </w:rPr>
        <w:t>0</w:t>
      </w:r>
      <w:r>
        <w:rPr>
          <w:rFonts w:hint="eastAsia" w:ascii="宋体" w:hAnsi="宋体"/>
          <w:szCs w:val="21"/>
        </w:rPr>
        <w:t>.</w:t>
      </w:r>
      <w:r>
        <w:rPr>
          <w:rFonts w:ascii="宋体" w:hAnsi="宋体"/>
          <w:szCs w:val="21"/>
        </w:rPr>
        <w:t>3</w:t>
      </w:r>
      <w:r>
        <w:rPr>
          <w:rFonts w:hint="eastAsia" w:ascii="宋体" w:hAnsi="宋体"/>
          <w:szCs w:val="21"/>
        </w:rPr>
        <w:t>未参与标前会议不作为否定投标人资格的理由。</w:t>
      </w:r>
    </w:p>
    <w:bookmarkEnd w:id="28"/>
    <w:p>
      <w:pPr>
        <w:ind w:firstLine="411" w:firstLineChars="196"/>
        <w:rPr>
          <w:rFonts w:ascii="宋体" w:hAnsi="宋体"/>
        </w:rPr>
      </w:pPr>
    </w:p>
    <w:p>
      <w:pPr>
        <w:pStyle w:val="3"/>
        <w:numPr>
          <w:ilvl w:val="0"/>
          <w:numId w:val="4"/>
        </w:numPr>
        <w:spacing w:beforeLines="50" w:afterLines="50"/>
        <w:ind w:left="562" w:hanging="562"/>
        <w:rPr>
          <w:sz w:val="28"/>
          <w:szCs w:val="28"/>
        </w:rPr>
      </w:pPr>
      <w:r>
        <w:rPr>
          <w:rFonts w:hint="eastAsia"/>
          <w:sz w:val="28"/>
          <w:szCs w:val="28"/>
        </w:rPr>
        <w:t>招标文件</w:t>
      </w:r>
    </w:p>
    <w:p>
      <w:pPr>
        <w:rPr>
          <w:rFonts w:ascii="黑体" w:hAnsi="宋体" w:eastAsia="黑体"/>
          <w:sz w:val="24"/>
        </w:rPr>
      </w:pPr>
      <w:r>
        <w:rPr>
          <w:rFonts w:hint="eastAsia" w:ascii="黑体" w:hAnsi="宋体" w:eastAsia="黑体"/>
          <w:sz w:val="24"/>
        </w:rPr>
        <w:t>1</w:t>
      </w:r>
      <w:r>
        <w:rPr>
          <w:rFonts w:ascii="黑体" w:hAnsi="宋体" w:eastAsia="黑体"/>
          <w:sz w:val="24"/>
        </w:rPr>
        <w:t>1</w:t>
      </w:r>
      <w:r>
        <w:rPr>
          <w:rFonts w:hint="eastAsia" w:ascii="黑体" w:hAnsi="宋体" w:eastAsia="黑体"/>
          <w:sz w:val="24"/>
        </w:rPr>
        <w:t>．</w:t>
      </w:r>
      <w:bookmarkStart w:id="30" w:name="_Hlk72399819"/>
      <w:r>
        <w:rPr>
          <w:rFonts w:hint="eastAsia" w:ascii="黑体" w:hAnsi="宋体" w:eastAsia="黑体"/>
          <w:sz w:val="24"/>
        </w:rPr>
        <w:t>招标文件的编制与组成</w:t>
      </w:r>
    </w:p>
    <w:p>
      <w:pPr>
        <w:snapToGrid w:val="0"/>
        <w:ind w:firstLine="420" w:firstLineChars="200"/>
        <w:rPr>
          <w:rFonts w:ascii="宋体" w:hAnsi="宋体"/>
          <w:szCs w:val="21"/>
        </w:rPr>
      </w:pPr>
      <w:r>
        <w:rPr>
          <w:rFonts w:hint="eastAsia" w:ascii="宋体" w:hAnsi="宋体"/>
          <w:szCs w:val="21"/>
        </w:rPr>
        <w:t>1</w:t>
      </w:r>
      <w:r>
        <w:rPr>
          <w:rFonts w:ascii="宋体" w:hAnsi="宋体"/>
          <w:szCs w:val="21"/>
        </w:rPr>
        <w:t>1</w:t>
      </w:r>
      <w:r>
        <w:rPr>
          <w:rFonts w:hint="eastAsia" w:ascii="宋体" w:hAnsi="宋体"/>
          <w:szCs w:val="21"/>
        </w:rPr>
        <w:t>.1招标文件除以下内容外，政府集中采购机构在招标期间发出的澄清或修改等相关公告或通知内容，均是招标文件的组成部分，对投标人起约束作用；</w:t>
      </w:r>
    </w:p>
    <w:p>
      <w:pPr>
        <w:ind w:firstLine="411" w:firstLineChars="196"/>
        <w:rPr>
          <w:rFonts w:ascii="宋体" w:hAnsi="宋体"/>
          <w:szCs w:val="21"/>
        </w:rPr>
      </w:pPr>
      <w:r>
        <w:rPr>
          <w:rFonts w:hint="eastAsia" w:ascii="宋体" w:hAnsi="宋体"/>
          <w:szCs w:val="21"/>
        </w:rPr>
        <w:t>招标文件包括下列内容：</w:t>
      </w:r>
    </w:p>
    <w:p>
      <w:pPr>
        <w:ind w:left="420" w:leftChars="200" w:firstLine="413" w:firstLineChars="196"/>
        <w:rPr>
          <w:rFonts w:ascii="宋体" w:hAnsi="宋体"/>
          <w:b/>
          <w:szCs w:val="21"/>
        </w:rPr>
      </w:pPr>
      <w:r>
        <w:rPr>
          <w:rFonts w:hint="eastAsia" w:ascii="宋体" w:hAnsi="宋体"/>
          <w:b/>
          <w:szCs w:val="21"/>
        </w:rPr>
        <w:t>第一册  专用条款</w:t>
      </w:r>
    </w:p>
    <w:p>
      <w:pPr>
        <w:ind w:left="1079" w:leftChars="514"/>
        <w:rPr>
          <w:rFonts w:ascii="宋体" w:hAnsi="宋体"/>
          <w:b/>
          <w:szCs w:val="21"/>
        </w:rPr>
      </w:pPr>
      <w:r>
        <w:rPr>
          <w:rFonts w:hint="eastAsia" w:ascii="宋体" w:hAnsi="宋体"/>
          <w:b/>
          <w:szCs w:val="21"/>
        </w:rPr>
        <w:t>关键信息</w:t>
      </w:r>
    </w:p>
    <w:p>
      <w:pPr>
        <w:ind w:left="630" w:leftChars="300" w:firstLine="411" w:firstLineChars="196"/>
        <w:rPr>
          <w:rFonts w:ascii="宋体" w:hAnsi="宋体"/>
          <w:szCs w:val="21"/>
        </w:rPr>
      </w:pPr>
      <w:r>
        <w:rPr>
          <w:rFonts w:hint="eastAsia" w:ascii="宋体" w:hAnsi="宋体"/>
          <w:szCs w:val="21"/>
        </w:rPr>
        <w:t>第一章  招标公告</w:t>
      </w:r>
    </w:p>
    <w:p>
      <w:pPr>
        <w:ind w:left="630" w:leftChars="300" w:firstLine="411" w:firstLineChars="196"/>
        <w:rPr>
          <w:rFonts w:ascii="宋体" w:hAnsi="宋体"/>
          <w:szCs w:val="21"/>
        </w:rPr>
      </w:pPr>
      <w:r>
        <w:rPr>
          <w:rFonts w:hint="eastAsia" w:ascii="宋体" w:hAnsi="宋体"/>
          <w:szCs w:val="21"/>
        </w:rPr>
        <w:t>第二章  对通用条款的补充内容及其他关键信息</w:t>
      </w:r>
    </w:p>
    <w:p>
      <w:pPr>
        <w:ind w:left="630" w:leftChars="300" w:firstLine="411" w:firstLineChars="196"/>
        <w:rPr>
          <w:rFonts w:ascii="宋体" w:hAnsi="宋体"/>
          <w:szCs w:val="21"/>
        </w:rPr>
      </w:pPr>
      <w:r>
        <w:rPr>
          <w:rFonts w:hint="eastAsia" w:ascii="宋体" w:hAnsi="宋体"/>
          <w:szCs w:val="21"/>
        </w:rPr>
        <w:t>第三章  用户需求书</w:t>
      </w:r>
    </w:p>
    <w:p>
      <w:pPr>
        <w:ind w:left="630" w:leftChars="300" w:firstLine="411" w:firstLineChars="196"/>
        <w:rPr>
          <w:rFonts w:ascii="宋体" w:hAnsi="宋体"/>
          <w:szCs w:val="21"/>
        </w:rPr>
      </w:pPr>
      <w:r>
        <w:rPr>
          <w:rFonts w:hint="eastAsia"/>
        </w:rPr>
        <w:t>第四章 投标文件格式及附件</w:t>
      </w:r>
    </w:p>
    <w:p>
      <w:pPr>
        <w:ind w:left="630" w:leftChars="300" w:firstLine="411" w:firstLineChars="196"/>
        <w:rPr>
          <w:rFonts w:ascii="宋体" w:hAnsi="宋体"/>
          <w:szCs w:val="21"/>
        </w:rPr>
      </w:pPr>
      <w:r>
        <w:rPr>
          <w:rFonts w:hint="eastAsia" w:ascii="宋体" w:hAnsi="宋体"/>
          <w:szCs w:val="21"/>
        </w:rPr>
        <w:t>第五章  合同条款及格式</w:t>
      </w:r>
    </w:p>
    <w:p>
      <w:pPr>
        <w:ind w:left="420" w:leftChars="200" w:firstLine="413" w:firstLineChars="196"/>
        <w:rPr>
          <w:rFonts w:ascii="宋体" w:hAnsi="宋体"/>
          <w:b/>
          <w:szCs w:val="21"/>
        </w:rPr>
      </w:pPr>
      <w:r>
        <w:rPr>
          <w:rFonts w:hint="eastAsia" w:ascii="宋体" w:hAnsi="宋体"/>
          <w:b/>
          <w:szCs w:val="21"/>
        </w:rPr>
        <w:t>第二册  通用条款</w:t>
      </w:r>
    </w:p>
    <w:p>
      <w:pPr>
        <w:ind w:left="630" w:leftChars="300" w:firstLine="411" w:firstLineChars="196"/>
        <w:rPr>
          <w:rFonts w:ascii="宋体" w:hAnsi="宋体"/>
          <w:szCs w:val="21"/>
        </w:rPr>
      </w:pPr>
      <w:r>
        <w:rPr>
          <w:rFonts w:hint="eastAsia" w:ascii="宋体" w:hAnsi="宋体"/>
          <w:szCs w:val="21"/>
        </w:rPr>
        <w:t>第一章  总则</w:t>
      </w:r>
    </w:p>
    <w:p>
      <w:pPr>
        <w:ind w:left="630" w:leftChars="300" w:firstLine="411" w:firstLineChars="196"/>
        <w:rPr>
          <w:rFonts w:ascii="宋体" w:hAnsi="宋体"/>
          <w:szCs w:val="21"/>
        </w:rPr>
      </w:pPr>
      <w:r>
        <w:rPr>
          <w:rFonts w:hint="eastAsia" w:ascii="宋体" w:hAnsi="宋体"/>
          <w:szCs w:val="21"/>
        </w:rPr>
        <w:t>第二章  招标文件</w:t>
      </w:r>
    </w:p>
    <w:p>
      <w:pPr>
        <w:ind w:left="630" w:leftChars="300" w:firstLine="411" w:firstLineChars="196"/>
        <w:rPr>
          <w:rFonts w:ascii="宋体" w:hAnsi="宋体"/>
          <w:szCs w:val="21"/>
        </w:rPr>
      </w:pPr>
      <w:r>
        <w:rPr>
          <w:rFonts w:hint="eastAsia" w:ascii="宋体" w:hAnsi="宋体"/>
          <w:szCs w:val="21"/>
        </w:rPr>
        <w:t>第三章  投标文件的编制</w:t>
      </w:r>
    </w:p>
    <w:p>
      <w:pPr>
        <w:ind w:left="630" w:leftChars="300" w:firstLine="411" w:firstLineChars="196"/>
        <w:rPr>
          <w:rFonts w:ascii="宋体" w:hAnsi="宋体"/>
          <w:szCs w:val="21"/>
        </w:rPr>
      </w:pPr>
      <w:r>
        <w:rPr>
          <w:rFonts w:hint="eastAsia" w:ascii="宋体" w:hAnsi="宋体"/>
          <w:szCs w:val="21"/>
        </w:rPr>
        <w:t>第四章  投标文件的递交</w:t>
      </w:r>
    </w:p>
    <w:p>
      <w:pPr>
        <w:ind w:left="630" w:leftChars="300" w:firstLine="411" w:firstLineChars="196"/>
        <w:rPr>
          <w:rFonts w:ascii="宋体" w:hAnsi="宋体"/>
          <w:szCs w:val="21"/>
        </w:rPr>
      </w:pPr>
      <w:r>
        <w:rPr>
          <w:rFonts w:hint="eastAsia" w:ascii="宋体" w:hAnsi="宋体"/>
          <w:szCs w:val="21"/>
        </w:rPr>
        <w:t>第五章  开标</w:t>
      </w:r>
    </w:p>
    <w:p>
      <w:pPr>
        <w:ind w:left="630" w:leftChars="300" w:firstLine="411" w:firstLineChars="196"/>
        <w:rPr>
          <w:rFonts w:ascii="宋体" w:hAnsi="宋体"/>
          <w:szCs w:val="21"/>
        </w:rPr>
      </w:pPr>
      <w:r>
        <w:rPr>
          <w:rFonts w:hint="eastAsia" w:ascii="宋体" w:hAnsi="宋体"/>
          <w:szCs w:val="21"/>
        </w:rPr>
        <w:t>第六章  评审要求</w:t>
      </w:r>
    </w:p>
    <w:p>
      <w:pPr>
        <w:ind w:left="630" w:leftChars="300" w:firstLine="411" w:firstLineChars="196"/>
        <w:rPr>
          <w:rFonts w:ascii="宋体" w:hAnsi="宋体"/>
          <w:szCs w:val="21"/>
        </w:rPr>
      </w:pPr>
      <w:r>
        <w:rPr>
          <w:rFonts w:hint="eastAsia" w:ascii="宋体" w:hAnsi="宋体"/>
          <w:szCs w:val="21"/>
        </w:rPr>
        <w:t>第七章  评审程序及评审方法</w:t>
      </w:r>
    </w:p>
    <w:p>
      <w:pPr>
        <w:ind w:left="630" w:leftChars="300" w:firstLine="411" w:firstLineChars="196"/>
        <w:rPr>
          <w:rFonts w:ascii="宋体" w:hAnsi="宋体"/>
          <w:szCs w:val="21"/>
        </w:rPr>
      </w:pPr>
      <w:r>
        <w:rPr>
          <w:rFonts w:hint="eastAsia" w:ascii="宋体" w:hAnsi="宋体"/>
          <w:szCs w:val="21"/>
        </w:rPr>
        <w:t>第八章  定标及公示</w:t>
      </w:r>
    </w:p>
    <w:p>
      <w:pPr>
        <w:ind w:left="630" w:leftChars="300" w:firstLine="411" w:firstLineChars="196"/>
        <w:rPr>
          <w:rFonts w:ascii="宋体" w:hAnsi="宋体"/>
          <w:szCs w:val="21"/>
        </w:rPr>
      </w:pPr>
      <w:r>
        <w:rPr>
          <w:rFonts w:hint="eastAsia" w:ascii="宋体" w:hAnsi="宋体"/>
          <w:szCs w:val="21"/>
        </w:rPr>
        <w:t>第九章  公开招标失败的后续处理</w:t>
      </w:r>
    </w:p>
    <w:p>
      <w:pPr>
        <w:ind w:left="630" w:leftChars="300" w:firstLine="411" w:firstLineChars="196"/>
        <w:rPr>
          <w:rFonts w:ascii="宋体" w:hAnsi="宋体"/>
          <w:szCs w:val="21"/>
        </w:rPr>
      </w:pPr>
      <w:r>
        <w:rPr>
          <w:rFonts w:hint="eastAsia" w:ascii="宋体" w:hAnsi="宋体"/>
          <w:szCs w:val="21"/>
        </w:rPr>
        <w:t>第十章  合同的授予与备案</w:t>
      </w:r>
    </w:p>
    <w:p>
      <w:pPr>
        <w:ind w:left="630" w:leftChars="300" w:firstLine="411" w:firstLineChars="196"/>
        <w:rPr>
          <w:rFonts w:ascii="宋体" w:hAnsi="宋体"/>
          <w:szCs w:val="21"/>
        </w:rPr>
      </w:pPr>
      <w:r>
        <w:rPr>
          <w:rFonts w:hint="eastAsia" w:ascii="宋体" w:hAnsi="宋体"/>
          <w:szCs w:val="21"/>
        </w:rPr>
        <w:t>第十一章  质疑处理</w:t>
      </w:r>
    </w:p>
    <w:p>
      <w:pPr>
        <w:ind w:firstLine="411" w:firstLineChars="196"/>
        <w:rPr>
          <w:rFonts w:ascii="宋体" w:hAnsi="宋体"/>
          <w:szCs w:val="21"/>
        </w:rPr>
      </w:pPr>
      <w:r>
        <w:rPr>
          <w:rFonts w:hint="eastAsia" w:ascii="宋体" w:hAnsi="宋体"/>
          <w:szCs w:val="21"/>
        </w:rPr>
        <w:t>1</w:t>
      </w:r>
      <w:r>
        <w:rPr>
          <w:rFonts w:ascii="宋体" w:hAnsi="宋体"/>
          <w:szCs w:val="21"/>
        </w:rPr>
        <w:t>1</w:t>
      </w:r>
      <w:r>
        <w:rPr>
          <w:rFonts w:hint="eastAsia" w:ascii="宋体" w:hAnsi="宋体"/>
          <w:szCs w:val="21"/>
        </w:rPr>
        <w:t>.2 投标人下载招标文件后，应仔细检查招标文件的所有内容，如有疑问应在答疑截止时间之前向政府集中采购机构提出，否则，由此引起的投标损失自负；投标人同时应认真审阅招标文件所有的事项、格式、条款和规范要求等，如果投标人的投标文件未按招标文件要求提交全部资料或者投标文件未对招标文件做出实质性响应，其风险由投标人自行承担。</w:t>
      </w:r>
    </w:p>
    <w:p>
      <w:pPr>
        <w:ind w:firstLine="411" w:firstLineChars="196"/>
        <w:rPr>
          <w:rFonts w:ascii="宋体" w:hAnsi="宋体"/>
          <w:szCs w:val="21"/>
        </w:rPr>
      </w:pPr>
      <w:r>
        <w:rPr>
          <w:rFonts w:hint="eastAsia" w:ascii="宋体" w:hAnsi="宋体"/>
          <w:szCs w:val="21"/>
        </w:rPr>
        <w:t>1</w:t>
      </w:r>
      <w:r>
        <w:rPr>
          <w:rFonts w:ascii="宋体" w:hAnsi="宋体"/>
          <w:szCs w:val="21"/>
        </w:rPr>
        <w:t>1</w:t>
      </w:r>
      <w:r>
        <w:rPr>
          <w:rFonts w:hint="eastAsia" w:ascii="宋体" w:hAnsi="宋体"/>
          <w:szCs w:val="21"/>
        </w:rPr>
        <w:t>.3</w:t>
      </w:r>
      <w:r>
        <w:rPr>
          <w:rFonts w:hint="eastAsia" w:ascii="宋体" w:hAnsi="宋体"/>
        </w:rPr>
        <w:t>任何人或任何组织向投标人提交的任何书面或口头资料，未经政府集中采购机构在网上发布或书面通知，均作无效处理，不得作为招标文件的组成部分。政府集中采购机构对投标人由此而做出的推论、理解和结论概不负责。</w:t>
      </w:r>
    </w:p>
    <w:p>
      <w:pPr>
        <w:rPr>
          <w:rFonts w:ascii="黑体" w:hAnsi="宋体" w:eastAsia="黑体"/>
          <w:sz w:val="24"/>
        </w:rPr>
      </w:pPr>
      <w:r>
        <w:rPr>
          <w:rFonts w:hint="eastAsia" w:ascii="黑体" w:hAnsi="宋体" w:eastAsia="黑体"/>
          <w:sz w:val="24"/>
        </w:rPr>
        <w:t>1</w:t>
      </w:r>
      <w:r>
        <w:rPr>
          <w:rFonts w:ascii="黑体" w:hAnsi="宋体" w:eastAsia="黑体"/>
          <w:sz w:val="24"/>
        </w:rPr>
        <w:t>2</w:t>
      </w:r>
      <w:r>
        <w:rPr>
          <w:rFonts w:hint="eastAsia" w:ascii="黑体" w:hAnsi="宋体" w:eastAsia="黑体"/>
          <w:sz w:val="24"/>
        </w:rPr>
        <w:t>．招标文件的澄清</w:t>
      </w:r>
    </w:p>
    <w:p>
      <w:pPr>
        <w:ind w:firstLine="411" w:firstLineChars="196"/>
        <w:rPr>
          <w:rFonts w:ascii="宋体" w:hAnsi="宋体"/>
          <w:szCs w:val="21"/>
        </w:rPr>
      </w:pPr>
      <w:r>
        <w:rPr>
          <w:rFonts w:hint="eastAsia" w:ascii="宋体" w:hAnsi="宋体"/>
          <w:szCs w:val="21"/>
        </w:rPr>
        <w:t>1</w:t>
      </w:r>
      <w:r>
        <w:rPr>
          <w:rFonts w:ascii="宋体" w:hAnsi="宋体"/>
          <w:szCs w:val="21"/>
        </w:rPr>
        <w:t>2</w:t>
      </w:r>
      <w:r>
        <w:rPr>
          <w:rFonts w:hint="eastAsia" w:ascii="宋体" w:hAnsi="宋体"/>
          <w:szCs w:val="21"/>
        </w:rPr>
        <w:t>.1招标文件澄清的目的是澄清、解答投标人在查阅招标文件后或现场踏勘中可能提出的与投标有关的疑问或询问。</w:t>
      </w:r>
    </w:p>
    <w:p>
      <w:pPr>
        <w:ind w:firstLine="411" w:firstLineChars="196"/>
        <w:rPr>
          <w:rFonts w:ascii="宋体" w:hAnsi="宋体"/>
          <w:szCs w:val="21"/>
        </w:rPr>
      </w:pPr>
      <w:r>
        <w:rPr>
          <w:rFonts w:hint="eastAsia" w:ascii="宋体" w:hAnsi="宋体"/>
          <w:szCs w:val="21"/>
        </w:rPr>
        <w:t>1</w:t>
      </w:r>
      <w:r>
        <w:rPr>
          <w:rFonts w:ascii="宋体" w:hAnsi="宋体"/>
          <w:szCs w:val="21"/>
        </w:rPr>
        <w:t>2</w:t>
      </w:r>
      <w:r>
        <w:rPr>
          <w:rFonts w:hint="eastAsia" w:ascii="宋体" w:hAnsi="宋体"/>
          <w:szCs w:val="21"/>
        </w:rPr>
        <w:t>.2投标人如对招标文件内容有疑问，应当在招标公告规定的澄清（提问）截止时间前以网上提问的形式通过网上政府采购系统提交政府集中采购机构。</w:t>
      </w:r>
    </w:p>
    <w:p>
      <w:pPr>
        <w:ind w:firstLine="411" w:firstLineChars="196"/>
        <w:rPr>
          <w:rFonts w:ascii="宋体" w:hAnsi="宋体"/>
          <w:szCs w:val="21"/>
        </w:rPr>
      </w:pPr>
      <w:r>
        <w:rPr>
          <w:rFonts w:hint="eastAsia" w:ascii="宋体" w:hAnsi="宋体"/>
          <w:szCs w:val="21"/>
        </w:rPr>
        <w:t>1</w:t>
      </w:r>
      <w:r>
        <w:rPr>
          <w:rFonts w:ascii="宋体" w:hAnsi="宋体"/>
          <w:szCs w:val="21"/>
        </w:rPr>
        <w:t>2</w:t>
      </w:r>
      <w:r>
        <w:rPr>
          <w:rFonts w:hint="eastAsia" w:ascii="宋体" w:hAnsi="宋体"/>
          <w:szCs w:val="21"/>
        </w:rPr>
        <w:t>.3不论是政府集中采购机构根据需要主动对招标文件进行必要的澄清或是根据投标人的要求对招标文件做出澄清，政府集中采购机构都将在投标截止日期前以书面形式（包括政府集中采购机构网站发布方式）答复或发送给所有投标人。答复内容是招标文件的组成部分，对投标人起约束作用，其有效性按照本通用条款第1</w:t>
      </w:r>
      <w:r>
        <w:rPr>
          <w:rFonts w:ascii="宋体" w:hAnsi="宋体"/>
          <w:szCs w:val="21"/>
        </w:rPr>
        <w:t>3.3</w:t>
      </w:r>
      <w:r>
        <w:rPr>
          <w:rFonts w:hint="eastAsia" w:ascii="宋体" w:hAnsi="宋体"/>
          <w:szCs w:val="21"/>
        </w:rPr>
        <w:t>、1</w:t>
      </w:r>
      <w:r>
        <w:rPr>
          <w:rFonts w:ascii="宋体" w:hAnsi="宋体"/>
          <w:szCs w:val="21"/>
        </w:rPr>
        <w:t>3.4</w:t>
      </w:r>
      <w:r>
        <w:rPr>
          <w:rFonts w:hint="eastAsia" w:ascii="宋体" w:hAnsi="宋体"/>
          <w:szCs w:val="21"/>
        </w:rPr>
        <w:t>款规定执行。</w:t>
      </w:r>
    </w:p>
    <w:p>
      <w:pPr>
        <w:rPr>
          <w:rFonts w:ascii="黑体" w:hAnsi="宋体" w:eastAsia="黑体"/>
          <w:sz w:val="24"/>
        </w:rPr>
      </w:pPr>
      <w:r>
        <w:rPr>
          <w:rFonts w:ascii="黑体" w:hAnsi="宋体" w:eastAsia="黑体"/>
          <w:sz w:val="24"/>
        </w:rPr>
        <w:t>1</w:t>
      </w:r>
      <w:r>
        <w:rPr>
          <w:rFonts w:hint="eastAsia" w:ascii="黑体" w:hAnsi="宋体" w:eastAsia="黑体"/>
          <w:sz w:val="24"/>
        </w:rPr>
        <w:t>3．招标文件的修改</w:t>
      </w:r>
    </w:p>
    <w:p>
      <w:pPr>
        <w:ind w:firstLine="411" w:firstLineChars="196"/>
        <w:rPr>
          <w:rFonts w:ascii="宋体" w:hAnsi="宋体"/>
          <w:szCs w:val="21"/>
        </w:rPr>
      </w:pPr>
      <w:r>
        <w:rPr>
          <w:rFonts w:ascii="宋体" w:hAnsi="宋体"/>
          <w:szCs w:val="21"/>
        </w:rPr>
        <w:t>1</w:t>
      </w:r>
      <w:r>
        <w:rPr>
          <w:rFonts w:hint="eastAsia" w:ascii="宋体" w:hAnsi="宋体"/>
          <w:szCs w:val="21"/>
        </w:rPr>
        <w:t>3.1招标文件发出后，在投标截止日期前任何时候，确需要变更招标文件内容的，政府集中采购机构可主动或在解答投标人提出的澄清问题时对招标文件进行修改。</w:t>
      </w:r>
    </w:p>
    <w:p>
      <w:pPr>
        <w:ind w:firstLine="411" w:firstLineChars="196"/>
        <w:rPr>
          <w:rFonts w:ascii="宋体" w:hAnsi="宋体"/>
          <w:szCs w:val="21"/>
        </w:rPr>
      </w:pPr>
      <w:r>
        <w:rPr>
          <w:rFonts w:ascii="宋体" w:hAnsi="宋体"/>
          <w:szCs w:val="21"/>
        </w:rPr>
        <w:t>1</w:t>
      </w:r>
      <w:r>
        <w:rPr>
          <w:rFonts w:hint="eastAsia" w:ascii="宋体" w:hAnsi="宋体"/>
          <w:szCs w:val="21"/>
        </w:rPr>
        <w:t>3.2招标文件的修改以书面形式（包括政府集中采购机构网站发布方式，如更正公告等）发送给所有投标人，招标文件的修改内容作为招标文件的组成部分，并具有约束力。</w:t>
      </w:r>
    </w:p>
    <w:p>
      <w:pPr>
        <w:ind w:firstLine="411" w:firstLineChars="196"/>
        <w:rPr>
          <w:rFonts w:ascii="宋体" w:hAnsi="宋体"/>
          <w:szCs w:val="21"/>
        </w:rPr>
      </w:pPr>
      <w:r>
        <w:rPr>
          <w:rFonts w:ascii="宋体" w:hAnsi="宋体"/>
          <w:szCs w:val="21"/>
        </w:rPr>
        <w:t>1</w:t>
      </w:r>
      <w:r>
        <w:rPr>
          <w:rFonts w:hint="eastAsia" w:ascii="宋体" w:hAnsi="宋体"/>
          <w:szCs w:val="21"/>
        </w:rPr>
        <w:t>3.3招标文件、招标文件澄清答复内容、招标文件修改补充内容均以书面形式（包括政府集中采购机构网站公开发布方式，如更正公告等）明确的内容为准。当招标文件、修改补充通知、招标文件澄清答复内容相互矛盾时，以最后发出的内容为准。</w:t>
      </w:r>
    </w:p>
    <w:p>
      <w:pPr>
        <w:ind w:firstLine="411" w:firstLineChars="196"/>
        <w:rPr>
          <w:rFonts w:ascii="宋体" w:hAnsi="宋体"/>
          <w:szCs w:val="21"/>
        </w:rPr>
      </w:pPr>
      <w:r>
        <w:rPr>
          <w:rFonts w:ascii="宋体" w:hAnsi="宋体"/>
          <w:szCs w:val="21"/>
        </w:rPr>
        <w:t>1</w:t>
      </w:r>
      <w:r>
        <w:rPr>
          <w:rFonts w:hint="eastAsia" w:ascii="宋体" w:hAnsi="宋体"/>
          <w:szCs w:val="21"/>
        </w:rPr>
        <w:t>3.4政府集中采购机构保证招标文件澄清答复内容和招标文件修改补充内容在投标截止时间前以书面形式（包括政府集中采购机构网站发布方式，如更正公告等）发送给所有投标人。为使投标人在编制投标文件时有充分时间对招标文件的修改部分进行研究，政府集中采购机构可以酌情延长递交投标文件的截止日期。</w:t>
      </w:r>
      <w:bookmarkEnd w:id="30"/>
    </w:p>
    <w:p>
      <w:pPr>
        <w:rPr>
          <w:rFonts w:ascii="宋体" w:hAnsi="宋体"/>
          <w:szCs w:val="21"/>
        </w:rPr>
      </w:pPr>
    </w:p>
    <w:p>
      <w:pPr>
        <w:pStyle w:val="3"/>
        <w:numPr>
          <w:ilvl w:val="0"/>
          <w:numId w:val="4"/>
        </w:numPr>
        <w:spacing w:beforeLines="50" w:afterLines="50"/>
        <w:ind w:left="562" w:hanging="562"/>
        <w:rPr>
          <w:sz w:val="28"/>
          <w:szCs w:val="28"/>
        </w:rPr>
      </w:pPr>
      <w:r>
        <w:rPr>
          <w:rFonts w:hint="eastAsia"/>
          <w:sz w:val="28"/>
          <w:szCs w:val="28"/>
        </w:rPr>
        <w:t>投标文件的编制</w:t>
      </w:r>
    </w:p>
    <w:p>
      <w:pPr>
        <w:rPr>
          <w:rFonts w:ascii="黑体" w:hAnsi="宋体" w:eastAsia="黑体"/>
          <w:sz w:val="24"/>
        </w:rPr>
      </w:pPr>
      <w:r>
        <w:rPr>
          <w:rFonts w:hint="eastAsia" w:ascii="黑体" w:hAnsi="宋体" w:eastAsia="黑体"/>
          <w:sz w:val="24"/>
        </w:rPr>
        <w:t>14．</w:t>
      </w:r>
      <w:bookmarkStart w:id="31" w:name="_Hlk72400236"/>
      <w:r>
        <w:rPr>
          <w:rFonts w:hint="eastAsia" w:ascii="黑体" w:hAnsi="宋体" w:eastAsia="黑体"/>
          <w:sz w:val="24"/>
        </w:rPr>
        <w:t>投标文件的语言及度量单位</w:t>
      </w:r>
    </w:p>
    <w:p>
      <w:pPr>
        <w:ind w:firstLine="411" w:firstLineChars="196"/>
        <w:rPr>
          <w:rFonts w:ascii="宋体" w:hAnsi="宋体"/>
          <w:szCs w:val="21"/>
        </w:rPr>
      </w:pPr>
      <w:r>
        <w:rPr>
          <w:rFonts w:hint="eastAsia" w:ascii="宋体" w:hAnsi="宋体"/>
          <w:szCs w:val="21"/>
        </w:rPr>
        <w:t>14.1 投标人与政府集中采购机构之间与投标有关的所有往来通知、函件和投标文件均用中文表述。投标人随投标文件提供的证明文件和资料可以为其它语言，但必须附中文译文。翻译的中文资料与外文资料如果出现差异时，以中文为准，但翻译错误的除外。</w:t>
      </w:r>
    </w:p>
    <w:p>
      <w:pPr>
        <w:ind w:firstLine="411" w:firstLineChars="196"/>
        <w:rPr>
          <w:rFonts w:ascii="宋体" w:hAnsi="宋体"/>
          <w:szCs w:val="21"/>
        </w:rPr>
      </w:pPr>
      <w:r>
        <w:rPr>
          <w:rFonts w:hint="eastAsia" w:ascii="宋体" w:hAnsi="宋体"/>
          <w:szCs w:val="21"/>
        </w:rPr>
        <w:t>14.2 除技术规范另有规定外，投标文件使用的度量单位，均采用中华人民共和国法定计量单位。</w:t>
      </w:r>
    </w:p>
    <w:bookmarkEnd w:id="31"/>
    <w:p>
      <w:pPr>
        <w:rPr>
          <w:rFonts w:ascii="黑体" w:hAnsi="宋体" w:eastAsia="黑体"/>
          <w:sz w:val="24"/>
        </w:rPr>
      </w:pPr>
      <w:r>
        <w:rPr>
          <w:rFonts w:hint="eastAsia" w:ascii="黑体" w:hAnsi="宋体" w:eastAsia="黑体"/>
          <w:sz w:val="24"/>
        </w:rPr>
        <w:t>15．</w:t>
      </w:r>
      <w:bookmarkStart w:id="32" w:name="_Hlk72401567"/>
      <w:r>
        <w:rPr>
          <w:rFonts w:hint="eastAsia" w:ascii="黑体" w:hAnsi="宋体" w:eastAsia="黑体"/>
          <w:sz w:val="24"/>
        </w:rPr>
        <w:t>投标文件的组成</w:t>
      </w:r>
    </w:p>
    <w:p>
      <w:pPr>
        <w:ind w:firstLine="411" w:firstLineChars="196"/>
        <w:rPr>
          <w:rFonts w:ascii="宋体" w:hAnsi="宋体"/>
          <w:szCs w:val="21"/>
        </w:rPr>
      </w:pPr>
      <w:r>
        <w:rPr>
          <w:rFonts w:hint="eastAsia" w:ascii="宋体" w:hAnsi="宋体"/>
          <w:szCs w:val="21"/>
        </w:rPr>
        <w:t>具体内容在招标文件专用条款中进行规定。</w:t>
      </w:r>
    </w:p>
    <w:p>
      <w:pPr>
        <w:rPr>
          <w:rFonts w:ascii="黑体" w:hAnsi="宋体" w:eastAsia="黑体"/>
          <w:sz w:val="24"/>
        </w:rPr>
      </w:pPr>
      <w:r>
        <w:rPr>
          <w:rFonts w:ascii="黑体" w:hAnsi="宋体" w:eastAsia="黑体"/>
          <w:sz w:val="24"/>
        </w:rPr>
        <w:t>16．投标文件格式</w:t>
      </w:r>
    </w:p>
    <w:p>
      <w:pPr>
        <w:ind w:firstLine="411" w:firstLineChars="196"/>
        <w:rPr>
          <w:rFonts w:ascii="宋体" w:hAnsi="宋体"/>
          <w:szCs w:val="21"/>
        </w:rPr>
      </w:pPr>
      <w:r>
        <w:rPr>
          <w:rFonts w:hint="eastAsia" w:ascii="宋体" w:hAnsi="宋体"/>
          <w:szCs w:val="21"/>
        </w:rPr>
        <w:t>投标文件包括本通用条款第</w:t>
      </w:r>
      <w:r>
        <w:rPr>
          <w:rFonts w:ascii="宋体" w:hAnsi="宋体"/>
          <w:szCs w:val="21"/>
        </w:rPr>
        <w:t>15条中规定的内容。如招标文件提供了投标文件格式，则</w:t>
      </w:r>
      <w:r>
        <w:rPr>
          <w:rFonts w:hint="eastAsia" w:ascii="宋体" w:hAnsi="宋体"/>
          <w:b/>
          <w:bCs/>
          <w:szCs w:val="21"/>
        </w:rPr>
        <w:t>投标人提交的投标文件应毫无例外地使用招标文件所提供的相应格式</w:t>
      </w:r>
      <w:r>
        <w:rPr>
          <w:rFonts w:hint="eastAsia" w:ascii="宋体" w:hAnsi="宋体"/>
          <w:szCs w:val="21"/>
        </w:rPr>
        <w:t>（表格均可按同样格式扩展）。</w:t>
      </w:r>
    </w:p>
    <w:p>
      <w:pPr>
        <w:rPr>
          <w:rFonts w:ascii="黑体" w:hAnsi="宋体" w:eastAsia="黑体"/>
          <w:sz w:val="24"/>
        </w:rPr>
      </w:pPr>
      <w:r>
        <w:rPr>
          <w:rFonts w:hint="eastAsia" w:ascii="黑体" w:hAnsi="宋体" w:eastAsia="黑体"/>
          <w:sz w:val="24"/>
        </w:rPr>
        <w:t>17．投标货币</w:t>
      </w:r>
    </w:p>
    <w:p>
      <w:pPr>
        <w:ind w:firstLine="411" w:firstLineChars="196"/>
        <w:rPr>
          <w:rFonts w:ascii="宋体" w:hAnsi="宋体"/>
          <w:szCs w:val="21"/>
        </w:rPr>
      </w:pPr>
      <w:r>
        <w:rPr>
          <w:rFonts w:hint="eastAsia" w:ascii="宋体" w:hAnsi="宋体"/>
          <w:szCs w:val="21"/>
        </w:rPr>
        <w:t>本项目的投标报价应以人民币计。</w:t>
      </w:r>
    </w:p>
    <w:bookmarkEnd w:id="32"/>
    <w:p>
      <w:pPr>
        <w:rPr>
          <w:rFonts w:ascii="黑体" w:hAnsi="宋体" w:eastAsia="黑体"/>
          <w:sz w:val="24"/>
        </w:rPr>
      </w:pPr>
      <w:r>
        <w:rPr>
          <w:rFonts w:hint="eastAsia" w:ascii="黑体" w:hAnsi="宋体" w:eastAsia="黑体"/>
          <w:sz w:val="24"/>
        </w:rPr>
        <w:t>18．</w:t>
      </w:r>
      <w:bookmarkStart w:id="33" w:name="_Hlk72401735"/>
      <w:r>
        <w:rPr>
          <w:rFonts w:hint="eastAsia" w:ascii="黑体" w:hAnsi="宋体" w:eastAsia="黑体"/>
          <w:sz w:val="24"/>
        </w:rPr>
        <w:t>证明投标文件投标技术方案的合格性和符合招标文件规定的文件要求</w:t>
      </w:r>
    </w:p>
    <w:p>
      <w:pPr>
        <w:ind w:firstLine="411" w:firstLineChars="196"/>
        <w:rPr>
          <w:rFonts w:ascii="宋体" w:hAnsi="宋体"/>
          <w:szCs w:val="21"/>
        </w:rPr>
      </w:pPr>
      <w:r>
        <w:rPr>
          <w:rFonts w:hint="eastAsia" w:ascii="宋体" w:hAnsi="宋体"/>
          <w:szCs w:val="21"/>
        </w:rPr>
        <w:t>18</w:t>
      </w:r>
      <w:r>
        <w:rPr>
          <w:rFonts w:ascii="宋体" w:hAnsi="宋体"/>
          <w:szCs w:val="21"/>
        </w:rPr>
        <w:t xml:space="preserve">.1 </w:t>
      </w:r>
      <w:r>
        <w:rPr>
          <w:rFonts w:hint="eastAsia" w:ascii="宋体" w:hAnsi="宋体"/>
          <w:szCs w:val="21"/>
        </w:rPr>
        <w:t>投标人应提交证明文件，证明其投标技术方案项下的货物和服务的合格性符合招标文件规定。该投标技术方案及其证明文件均作为投标文件组成部分。</w:t>
      </w:r>
    </w:p>
    <w:p>
      <w:pPr>
        <w:ind w:firstLine="411" w:firstLineChars="196"/>
        <w:rPr>
          <w:rFonts w:ascii="宋体" w:hAnsi="宋体"/>
          <w:szCs w:val="21"/>
        </w:rPr>
      </w:pPr>
      <w:r>
        <w:rPr>
          <w:rFonts w:ascii="宋体" w:hAnsi="宋体"/>
          <w:szCs w:val="21"/>
        </w:rPr>
        <w:t>1</w:t>
      </w:r>
      <w:r>
        <w:rPr>
          <w:rFonts w:hint="eastAsia" w:ascii="宋体" w:hAnsi="宋体"/>
          <w:szCs w:val="21"/>
        </w:rPr>
        <w:t>8</w:t>
      </w:r>
      <w:r>
        <w:rPr>
          <w:rFonts w:ascii="宋体" w:hAnsi="宋体"/>
          <w:szCs w:val="21"/>
        </w:rPr>
        <w:t xml:space="preserve">.2 </w:t>
      </w:r>
      <w:r>
        <w:rPr>
          <w:rFonts w:hint="eastAsia" w:ascii="宋体" w:hAnsi="宋体"/>
          <w:szCs w:val="21"/>
        </w:rPr>
        <w:t>投标人提供证明投标技术方案与招标文件的要求相一致的文件，可以是文字资料、图纸、数据或数码照片、制造商公布的产品说明书、产品彩页和我国政府机构出具的产品检验和核准证件等，提供的文件应符合以下要求：</w:t>
      </w:r>
    </w:p>
    <w:p>
      <w:pPr>
        <w:ind w:firstLine="411" w:firstLineChars="196"/>
        <w:rPr>
          <w:rFonts w:ascii="宋体" w:hAnsi="宋体"/>
          <w:szCs w:val="21"/>
        </w:rPr>
      </w:pPr>
      <w:r>
        <w:rPr>
          <w:rFonts w:hint="eastAsia" w:ascii="宋体" w:hAnsi="宋体"/>
          <w:szCs w:val="21"/>
        </w:rPr>
        <w:t>18.2.1主要技术指标和性能的详细说明。</w:t>
      </w:r>
    </w:p>
    <w:p>
      <w:pPr>
        <w:ind w:firstLine="411" w:firstLineChars="196"/>
        <w:rPr>
          <w:rFonts w:ascii="宋体" w:hAnsi="宋体"/>
          <w:szCs w:val="21"/>
        </w:rPr>
      </w:pPr>
      <w:r>
        <w:rPr>
          <w:rFonts w:hint="eastAsia" w:ascii="宋体" w:hAnsi="宋体"/>
          <w:szCs w:val="21"/>
        </w:rPr>
        <w:t>18.2.</w:t>
      </w:r>
      <w:r>
        <w:rPr>
          <w:rFonts w:ascii="宋体" w:hAnsi="宋体"/>
          <w:szCs w:val="21"/>
        </w:rPr>
        <w:t>2</w:t>
      </w:r>
      <w:r>
        <w:rPr>
          <w:rFonts w:hint="eastAsia" w:ascii="宋体" w:hAnsi="宋体"/>
          <w:szCs w:val="21"/>
        </w:rPr>
        <w:t>投标产品从采购人开始使用至招标文件中规定的周期内正常、连续地使用所必须的备件和专用工具清单，包括备件和专用工具的货源及现行价格。</w:t>
      </w:r>
    </w:p>
    <w:p>
      <w:pPr>
        <w:ind w:firstLine="411" w:firstLineChars="196"/>
        <w:rPr>
          <w:rFonts w:ascii="宋体" w:hAnsi="宋体"/>
          <w:szCs w:val="21"/>
        </w:rPr>
      </w:pPr>
      <w:r>
        <w:rPr>
          <w:rFonts w:hint="eastAsia" w:ascii="宋体" w:hAnsi="宋体"/>
          <w:szCs w:val="21"/>
        </w:rPr>
        <w:t>18.2.</w:t>
      </w:r>
      <w:r>
        <w:rPr>
          <w:rFonts w:ascii="宋体" w:hAnsi="宋体"/>
          <w:szCs w:val="21"/>
        </w:rPr>
        <w:t>3</w:t>
      </w:r>
      <w:r>
        <w:rPr>
          <w:rFonts w:hint="eastAsia" w:ascii="宋体" w:hAnsi="宋体"/>
          <w:szCs w:val="21"/>
        </w:rPr>
        <w:t>对照招标文件技术规格，逐条说明投标技术方案已对采购人的技术规格做出了实质性的响应，或申明与技术规格条文的偏差和例外。投标人应详细说明投标技术方案中产品的具体参数，不得不合理照搬照抄招标文件的技术要求。</w:t>
      </w:r>
    </w:p>
    <w:p>
      <w:pPr>
        <w:ind w:firstLine="411" w:firstLineChars="196"/>
        <w:rPr>
          <w:rFonts w:ascii="宋体" w:hAnsi="宋体"/>
          <w:szCs w:val="21"/>
        </w:rPr>
      </w:pPr>
      <w:r>
        <w:rPr>
          <w:rFonts w:hint="eastAsia" w:ascii="宋体" w:hAnsi="宋体"/>
          <w:szCs w:val="21"/>
        </w:rPr>
        <w:t>18.2.4产品说明书或彩页应为制造商公布或出具的中文产品说明书或彩页；提供外文说明书或彩页的，必须同时提供加盖制造商公章的对应中文翻译说明，评标依据以中文翻译内容为准，外文说明书或彩页仅供参考；产品说明书或彩页的尺寸和</w:t>
      </w:r>
      <w:r>
        <w:rPr>
          <w:rFonts w:hint="eastAsia"/>
        </w:rPr>
        <w:t>清晰度要求能够使用电脑阅读、识别和判断</w:t>
      </w:r>
      <w:r>
        <w:rPr>
          <w:rFonts w:hint="eastAsia" w:ascii="宋体" w:hAnsi="宋体"/>
          <w:szCs w:val="21"/>
        </w:rPr>
        <w:t>；</w:t>
      </w:r>
    </w:p>
    <w:p>
      <w:pPr>
        <w:ind w:firstLine="411" w:firstLineChars="196"/>
        <w:rPr>
          <w:rFonts w:ascii="宋体" w:hAnsi="宋体"/>
          <w:szCs w:val="21"/>
        </w:rPr>
      </w:pPr>
      <w:r>
        <w:rPr>
          <w:rFonts w:hint="eastAsia" w:ascii="宋体" w:hAnsi="宋体"/>
          <w:szCs w:val="21"/>
        </w:rPr>
        <w:t>18.2.5我国政府机构出具的产品检验和核准证件应为证件正面、背面和附件标注的全部具体内容；产品检验和核准证件的尺寸和清晰度应该能够在电脑上被阅读、识别和判断，提供原件扫描件。</w:t>
      </w:r>
    </w:p>
    <w:p>
      <w:pPr>
        <w:ind w:firstLine="411" w:firstLineChars="196"/>
        <w:rPr>
          <w:rFonts w:ascii="宋体" w:hAnsi="宋体"/>
          <w:szCs w:val="21"/>
        </w:rPr>
      </w:pPr>
      <w:r>
        <w:rPr>
          <w:rFonts w:hint="eastAsia" w:ascii="宋体" w:hAnsi="宋体"/>
          <w:szCs w:val="21"/>
        </w:rPr>
        <w:t>18.3相关资料不符合18.2款要求的，评审委员会有权认定为投标技术方案不合格响应，其相关分数予以扣减或作投标无效处理。</w:t>
      </w:r>
    </w:p>
    <w:p>
      <w:pPr>
        <w:ind w:firstLine="411" w:firstLineChars="196"/>
        <w:rPr>
          <w:rFonts w:ascii="宋体" w:hAnsi="宋体"/>
          <w:szCs w:val="21"/>
        </w:rPr>
      </w:pPr>
      <w:r>
        <w:rPr>
          <w:rFonts w:ascii="宋体" w:hAnsi="宋体"/>
          <w:szCs w:val="21"/>
        </w:rPr>
        <w:t>1</w:t>
      </w:r>
      <w:r>
        <w:rPr>
          <w:rFonts w:hint="eastAsia" w:ascii="宋体" w:hAnsi="宋体"/>
          <w:szCs w:val="21"/>
        </w:rPr>
        <w:t>8</w:t>
      </w:r>
      <w:r>
        <w:rPr>
          <w:rFonts w:ascii="宋体" w:hAnsi="宋体"/>
          <w:szCs w:val="21"/>
        </w:rPr>
        <w:t>.</w:t>
      </w:r>
      <w:r>
        <w:rPr>
          <w:rFonts w:hint="eastAsia" w:ascii="宋体" w:hAnsi="宋体"/>
          <w:szCs w:val="21"/>
        </w:rPr>
        <w:t>4投标人在阐述上述第18.2时应注意采购人在技术规格中指出的工艺、材料和设备的标准以及参照的牌号或分类号仅起说明作用，并没有任何限制性。投标人在投标中可以选用替代标准、牌号或分类号，但这些替代要实质上满足招标文件中技术规格的要求，是否</w:t>
      </w:r>
      <w:r>
        <w:rPr>
          <w:rFonts w:hint="eastAsia"/>
        </w:rPr>
        <w:t>满足要求</w:t>
      </w:r>
      <w:r>
        <w:rPr>
          <w:rFonts w:hint="eastAsia" w:ascii="宋体" w:hAnsi="宋体"/>
          <w:szCs w:val="21"/>
        </w:rPr>
        <w:t>，由评审委员会来评判。</w:t>
      </w:r>
    </w:p>
    <w:p>
      <w:pPr>
        <w:ind w:firstLine="411" w:firstLineChars="196"/>
        <w:rPr>
          <w:rFonts w:ascii="宋体" w:hAnsi="宋体"/>
          <w:szCs w:val="21"/>
        </w:rPr>
      </w:pPr>
      <w:r>
        <w:rPr>
          <w:rFonts w:hint="eastAsia" w:ascii="宋体" w:hAnsi="宋体"/>
          <w:szCs w:val="21"/>
        </w:rPr>
        <w:t>18.5除非另有规定或说明，投标人对同一项目投标时，不得同时提供两套或两套以上的投标方案。</w:t>
      </w:r>
    </w:p>
    <w:bookmarkEnd w:id="33"/>
    <w:p>
      <w:pPr>
        <w:rPr>
          <w:rFonts w:ascii="黑体" w:hAnsi="宋体" w:eastAsia="黑体"/>
          <w:sz w:val="24"/>
        </w:rPr>
      </w:pPr>
      <w:r>
        <w:rPr>
          <w:rFonts w:hint="eastAsia" w:ascii="黑体" w:hAnsi="宋体" w:eastAsia="黑体"/>
          <w:sz w:val="24"/>
        </w:rPr>
        <w:t>19．</w:t>
      </w:r>
      <w:bookmarkStart w:id="34" w:name="_Hlk72402034"/>
      <w:r>
        <w:rPr>
          <w:rFonts w:hint="eastAsia" w:ascii="黑体" w:hAnsi="宋体" w:eastAsia="黑体"/>
          <w:sz w:val="24"/>
        </w:rPr>
        <w:t>投标文件其他证明文件的要求</w:t>
      </w:r>
    </w:p>
    <w:p>
      <w:pPr>
        <w:rPr>
          <w:rFonts w:ascii="宋体" w:hAnsi="宋体"/>
          <w:color w:val="FF0000"/>
          <w:szCs w:val="21"/>
        </w:rPr>
      </w:pPr>
      <w:r>
        <w:rPr>
          <w:rFonts w:hint="eastAsia" w:ascii="宋体" w:hAnsi="宋体"/>
          <w:szCs w:val="21"/>
        </w:rPr>
        <w:t>19.1采用综合评分法的项目，对项目招标文件《评标信息》评分项中涉及的相关业绩、社保情况等内容以及《资格性审查表》和《符合性审查表》中涉及的证明材料，投标人应提供相关部门出具的证明材料扫描件或照片，原件备查。有关扫描件（或照片）的尺寸和清晰度要求能够使用电脑阅读、识别和判断。若投标人未按要求提供证明材料或提供的是部分证明材料或提供不清晰的扫描件（或照片）的，评审委员会有权认定其投标文件未对招标文件有关需求进行响应，涉及资格性检查或符合性检查的予以投标无效处理，涉及《评标信息》打分项的则该项评分予以0分处理。评审委员会对供应商投标资料是否异常、是否有效问题进行核查和判定，如认为供应商投标资料有异常或无效的，若涉及资格性审查或符合性审查条款的，则应作投标无效处理；若涉及评分的，则作不得分处理。</w:t>
      </w:r>
      <w:bookmarkStart w:id="35" w:name="_Hlk71407299"/>
    </w:p>
    <w:bookmarkEnd w:id="35"/>
    <w:p>
      <w:pPr>
        <w:ind w:firstLine="411" w:firstLineChars="196"/>
        <w:rPr>
          <w:rFonts w:ascii="宋体" w:hAnsi="宋体"/>
          <w:szCs w:val="21"/>
        </w:rPr>
      </w:pPr>
      <w:r>
        <w:rPr>
          <w:rFonts w:hint="eastAsia" w:ascii="宋体" w:hAnsi="宋体"/>
          <w:szCs w:val="21"/>
        </w:rPr>
        <w:t>19.2本项目涉及提供的有关资质（资格）证书，若原有资质（资格）证书处于年审期间，须提供证书颁发部门提供的回执，并且回执须证明该证书依然有效（若在法规范围不需提供的，供应商应做书面说明并提供证明文件，否则该证书无效），则该投标人提供年审证明的可按原资质（资格）投标；若投标人正在申报上一级别资质（资格），在未获批准之前，仍按原级别资质（资格）投标。</w:t>
      </w:r>
    </w:p>
    <w:p>
      <w:pPr>
        <w:rPr>
          <w:rFonts w:ascii="黑体" w:hAnsi="宋体" w:eastAsia="黑体"/>
          <w:sz w:val="24"/>
        </w:rPr>
      </w:pPr>
      <w:r>
        <w:rPr>
          <w:rFonts w:hint="eastAsia" w:ascii="黑体" w:hAnsi="宋体" w:eastAsia="黑体"/>
          <w:sz w:val="24"/>
        </w:rPr>
        <w:t>20．投标有效期</w:t>
      </w:r>
    </w:p>
    <w:bookmarkEnd w:id="34"/>
    <w:p>
      <w:pPr>
        <w:ind w:firstLine="411" w:firstLineChars="196"/>
        <w:rPr>
          <w:rFonts w:ascii="宋体" w:hAnsi="宋体"/>
          <w:szCs w:val="21"/>
        </w:rPr>
      </w:pPr>
      <w:bookmarkStart w:id="36" w:name="_Hlk72402214"/>
      <w:r>
        <w:rPr>
          <w:rFonts w:hint="eastAsia" w:ascii="宋体" w:hAnsi="宋体"/>
          <w:szCs w:val="21"/>
        </w:rPr>
        <w:t>20.1 投标有效期为</w:t>
      </w:r>
      <w:r>
        <w:rPr>
          <w:rFonts w:hint="eastAsia" w:ascii="Arial" w:hAnsi="Arial" w:cs="Arial"/>
          <w:szCs w:val="21"/>
        </w:rPr>
        <w:t>从投标截止之日算起的日历天数。</w:t>
      </w:r>
      <w:r>
        <w:rPr>
          <w:rFonts w:hint="eastAsia" w:ascii="宋体" w:hAnsi="宋体"/>
          <w:szCs w:val="21"/>
        </w:rPr>
        <w:t>在此期限内，所有投标文件均保持有效。</w:t>
      </w:r>
    </w:p>
    <w:p>
      <w:pPr>
        <w:ind w:firstLine="411" w:firstLineChars="196"/>
        <w:rPr>
          <w:rFonts w:ascii="宋体" w:hAnsi="宋体"/>
          <w:szCs w:val="21"/>
        </w:rPr>
      </w:pPr>
      <w:r>
        <w:rPr>
          <w:rFonts w:hint="eastAsia" w:ascii="宋体" w:hAnsi="宋体"/>
          <w:szCs w:val="21"/>
        </w:rPr>
        <w:t>20.2 在特殊情况下，政府集中采购机构在原定的投标有效期满之前，政府集中采购机构可以根据需要以书面形式（包括政府集中采购机构网站公开发布方式）向投标人提出延长投标有效期的要求，对此要求投标人须以书面形式予以答复，投标人可以拒绝政府集中采购机构此项要求，其投标在原投标有效期满后不再有效。同意延长投标有效期的投标人不能要求也不允许修改其投标文件。</w:t>
      </w:r>
    </w:p>
    <w:p>
      <w:pPr>
        <w:ind w:firstLine="411" w:firstLineChars="196"/>
        <w:rPr>
          <w:rFonts w:ascii="宋体" w:hAnsi="宋体"/>
          <w:szCs w:val="21"/>
        </w:rPr>
      </w:pPr>
      <w:r>
        <w:rPr>
          <w:rFonts w:hint="eastAsia" w:ascii="宋体" w:hAnsi="宋体"/>
          <w:szCs w:val="21"/>
        </w:rPr>
        <w:t>20</w:t>
      </w:r>
      <w:r>
        <w:rPr>
          <w:rFonts w:ascii="宋体" w:hAnsi="宋体"/>
          <w:szCs w:val="21"/>
        </w:rPr>
        <w:t>.3</w:t>
      </w:r>
      <w:r>
        <w:rPr>
          <w:rFonts w:hint="eastAsia" w:ascii="宋体" w:hAnsi="宋体"/>
          <w:szCs w:val="21"/>
        </w:rPr>
        <w:t xml:space="preserve"> 中标供应商的投标文件有效期，截止于完成本招标文件规定的全部项目内容，并通过竣工验收及保修期结束。</w:t>
      </w:r>
    </w:p>
    <w:bookmarkEnd w:id="36"/>
    <w:p>
      <w:pPr>
        <w:rPr>
          <w:rFonts w:ascii="黑体" w:hAnsi="宋体" w:eastAsia="黑体"/>
          <w:sz w:val="24"/>
        </w:rPr>
      </w:pPr>
      <w:r>
        <w:rPr>
          <w:rFonts w:hint="eastAsia" w:ascii="黑体" w:hAnsi="宋体" w:eastAsia="黑体"/>
          <w:sz w:val="24"/>
        </w:rPr>
        <w:t>21．</w:t>
      </w:r>
      <w:bookmarkStart w:id="37" w:name="_Hlk72402325"/>
      <w:r>
        <w:rPr>
          <w:rFonts w:hint="eastAsia" w:ascii="黑体" w:hAnsi="宋体" w:eastAsia="黑体"/>
          <w:sz w:val="24"/>
        </w:rPr>
        <w:t xml:space="preserve">关于投标保证金 </w:t>
      </w:r>
    </w:p>
    <w:p>
      <w:pPr>
        <w:rPr>
          <w:rFonts w:ascii="宋体" w:hAnsi="宋体"/>
          <w:szCs w:val="21"/>
        </w:rPr>
      </w:pPr>
      <w:r>
        <w:rPr>
          <w:rFonts w:hint="eastAsia" w:ascii="宋体" w:hAnsi="宋体"/>
          <w:szCs w:val="21"/>
        </w:rPr>
        <w:t xml:space="preserve">    21.1</w:t>
      </w:r>
      <w:r>
        <w:rPr>
          <w:rFonts w:hint="eastAsia"/>
        </w:rPr>
        <w:t>根据《深圳市财政局关于调整政府采购投标（响应）保证金管理政策的通知》（深财购〔2021〕51号）文的规定，本项目不收取投标保证金。</w:t>
      </w:r>
    </w:p>
    <w:p>
      <w:pPr>
        <w:rPr>
          <w:rFonts w:ascii="黑体" w:hAnsi="宋体" w:eastAsia="黑体"/>
          <w:sz w:val="24"/>
        </w:rPr>
      </w:pPr>
      <w:r>
        <w:rPr>
          <w:rFonts w:hint="eastAsia" w:ascii="黑体" w:hAnsi="宋体" w:eastAsia="黑体"/>
          <w:sz w:val="24"/>
        </w:rPr>
        <w:t>22．投标人的替代方案</w:t>
      </w:r>
    </w:p>
    <w:p>
      <w:pPr>
        <w:ind w:firstLine="411" w:firstLineChars="196"/>
        <w:rPr>
          <w:rFonts w:ascii="宋体" w:hAnsi="宋体"/>
          <w:szCs w:val="21"/>
        </w:rPr>
      </w:pPr>
      <w:r>
        <w:rPr>
          <w:rFonts w:hint="eastAsia" w:ascii="宋体" w:hAnsi="宋体"/>
          <w:szCs w:val="21"/>
        </w:rPr>
        <w:t>22.1投标人所提交的投标文件应完全满足招标文件（包括图纸和技术规范所示的基本技术设计）的要求。除非项目明确允许投标人提交替代方案，否则投标人有关替代方案的条款将初审不通过，作投标无效处理。</w:t>
      </w:r>
    </w:p>
    <w:p>
      <w:pPr>
        <w:ind w:firstLine="411" w:firstLineChars="196"/>
        <w:rPr>
          <w:rFonts w:ascii="宋体" w:hAnsi="宋体"/>
          <w:szCs w:val="21"/>
        </w:rPr>
      </w:pPr>
      <w:r>
        <w:rPr>
          <w:rFonts w:hint="eastAsia" w:ascii="宋体" w:hAnsi="宋体"/>
          <w:szCs w:val="21"/>
        </w:rPr>
        <w:t>22.2 如果允许投标人提交替代方案，则准备提交替代方案的投标人除应提交一份满足招标文件（包括图纸和技术规范所示的基本技术设计）要求的投标文件外，还应提交需评审其替代方案所需的全部资料，包括项目方案书、技术规范、替代方案报价书、所建议的项目方案及有关的其它详细资料。</w:t>
      </w:r>
    </w:p>
    <w:bookmarkEnd w:id="37"/>
    <w:p>
      <w:pPr>
        <w:rPr>
          <w:rFonts w:ascii="黑体" w:hAnsi="宋体" w:eastAsia="黑体"/>
          <w:sz w:val="24"/>
        </w:rPr>
      </w:pPr>
      <w:r>
        <w:rPr>
          <w:rFonts w:hint="eastAsia" w:ascii="黑体" w:hAnsi="宋体" w:eastAsia="黑体"/>
          <w:sz w:val="24"/>
        </w:rPr>
        <w:t>23．</w:t>
      </w:r>
      <w:bookmarkStart w:id="38" w:name="_Hlk72402860"/>
      <w:r>
        <w:rPr>
          <w:rFonts w:ascii="黑体" w:hAnsi="宋体" w:eastAsia="黑体"/>
          <w:sz w:val="24"/>
        </w:rPr>
        <w:t>投标文件的</w:t>
      </w:r>
      <w:r>
        <w:rPr>
          <w:rFonts w:hint="eastAsia" w:ascii="黑体" w:hAnsi="宋体" w:eastAsia="黑体"/>
          <w:sz w:val="24"/>
        </w:rPr>
        <w:t>制作</w:t>
      </w:r>
      <w:r>
        <w:rPr>
          <w:rFonts w:ascii="黑体" w:hAnsi="宋体" w:eastAsia="黑体"/>
          <w:sz w:val="24"/>
        </w:rPr>
        <w:t>要求</w:t>
      </w:r>
    </w:p>
    <w:p>
      <w:pPr>
        <w:ind w:firstLine="411" w:firstLineChars="196"/>
        <w:rPr>
          <w:rFonts w:ascii="宋体" w:hAnsi="宋体"/>
        </w:rPr>
      </w:pPr>
      <w:r>
        <w:rPr>
          <w:rFonts w:hint="eastAsia" w:ascii="宋体" w:hAnsi="宋体"/>
        </w:rPr>
        <w:t>23.1投标人应准备所投项目的电子投标文件一份。</w:t>
      </w:r>
    </w:p>
    <w:p>
      <w:pPr>
        <w:ind w:firstLine="411" w:firstLineChars="196"/>
        <w:rPr>
          <w:rFonts w:ascii="宋体" w:hAnsi="宋体"/>
        </w:rPr>
      </w:pPr>
      <w:r>
        <w:rPr>
          <w:rFonts w:hint="eastAsia" w:ascii="宋体" w:hAnsi="宋体"/>
        </w:rPr>
        <w:t>23.2投标人在使用《投标书编制软件》编制投标书时须注意：</w:t>
      </w:r>
    </w:p>
    <w:p>
      <w:pPr>
        <w:ind w:firstLine="411" w:firstLineChars="196"/>
        <w:rPr>
          <w:rFonts w:ascii="宋体" w:hAnsi="宋体"/>
        </w:rPr>
      </w:pPr>
      <w:r>
        <w:rPr>
          <w:rFonts w:hint="eastAsia" w:ascii="宋体" w:hAnsi="宋体"/>
        </w:rPr>
        <w:t>23.2.1导入《投标书编制软件》的招标文件项目编号、包号应与以此制作的投标文件项目编号、包号一致。例如，不能将甲项目A包的招标书导入《投标书编制软件》，制作乙项目B包的投标书。</w:t>
      </w:r>
    </w:p>
    <w:p>
      <w:pPr>
        <w:ind w:firstLine="411" w:firstLineChars="196"/>
        <w:rPr>
          <w:rFonts w:ascii="宋体" w:hAnsi="宋体"/>
        </w:rPr>
      </w:pPr>
      <w:r>
        <w:rPr>
          <w:rFonts w:hint="eastAsia" w:ascii="宋体" w:hAnsi="宋体"/>
        </w:rPr>
        <w:t>23.2.2不能用非本公司的电子密钥加密本公司的投标文件，或者用其它公司的登录用户上传本公司的投标文件。</w:t>
      </w:r>
    </w:p>
    <w:p>
      <w:pPr>
        <w:ind w:firstLine="411" w:firstLineChars="196"/>
        <w:rPr>
          <w:rFonts w:ascii="宋体" w:hAnsi="宋体"/>
        </w:rPr>
      </w:pPr>
      <w:r>
        <w:rPr>
          <w:rFonts w:hint="eastAsia" w:ascii="宋体" w:hAnsi="宋体"/>
        </w:rPr>
        <w:t>23.2.3要求用《投标书编制软件》编制投标书的包，不能用其它方式编制投标书。编制投标文件时，电脑须连通互联网。</w:t>
      </w:r>
    </w:p>
    <w:p>
      <w:pPr>
        <w:ind w:firstLine="411" w:firstLineChars="196"/>
        <w:rPr>
          <w:rFonts w:ascii="宋体" w:hAnsi="宋体"/>
        </w:rPr>
      </w:pPr>
      <w:r>
        <w:rPr>
          <w:rFonts w:hint="eastAsia" w:ascii="宋体" w:hAnsi="宋体"/>
        </w:rPr>
        <w:t>23.2.4投标文件不能带病毒。政府集中采购机构将用专业杀毒软件对投标文件进行病毒检测，如果这两种软件均报告发现病毒，则政府集中采购机构认为该投标文件带病毒。</w:t>
      </w:r>
    </w:p>
    <w:p>
      <w:pPr>
        <w:ind w:firstLine="411" w:firstLineChars="196"/>
        <w:rPr>
          <w:rFonts w:ascii="宋体" w:hAnsi="宋体"/>
        </w:rPr>
      </w:pPr>
      <w:r>
        <w:rPr>
          <w:rFonts w:hint="eastAsia" w:ascii="宋体" w:hAnsi="宋体"/>
        </w:rPr>
        <w:t>23.2.6投标人在编辑投标文件时，</w:t>
      </w:r>
      <w:r>
        <w:rPr>
          <w:rFonts w:hint="eastAsia" w:ascii="宋体" w:hAnsi="宋体"/>
          <w:b/>
        </w:rPr>
        <w:t>在投标文件目录中属于本节点内容的必须在本节点中填写，填写到其他节点或附件，</w:t>
      </w:r>
      <w:r>
        <w:rPr>
          <w:rFonts w:hint="eastAsia" w:ascii="宋体" w:hAnsi="宋体"/>
        </w:rPr>
        <w:t>一切后果由供应商自行承担。</w:t>
      </w:r>
    </w:p>
    <w:p>
      <w:pPr>
        <w:ind w:firstLine="411" w:firstLineChars="196"/>
        <w:rPr>
          <w:rFonts w:ascii="宋体" w:hAnsi="宋体"/>
        </w:rPr>
      </w:pPr>
      <w:r>
        <w:rPr>
          <w:rFonts w:hint="eastAsia" w:ascii="宋体" w:hAnsi="宋体"/>
        </w:rPr>
        <w:t>23.2.7投标文件编写完成后，</w:t>
      </w:r>
      <w:r>
        <w:rPr>
          <w:rFonts w:hint="eastAsia" w:ascii="宋体" w:hAnsi="宋体"/>
          <w:b/>
        </w:rPr>
        <w:t>必须用属于投标人的电子密钥或电子营业执照进行加密，否则视同未盖公章，将导致投标文件无效。</w:t>
      </w:r>
    </w:p>
    <w:p>
      <w:pPr>
        <w:ind w:firstLine="411" w:firstLineChars="196"/>
        <w:rPr>
          <w:rFonts w:ascii="宋体" w:hAnsi="宋体"/>
        </w:rPr>
      </w:pPr>
      <w:r>
        <w:rPr>
          <w:rFonts w:hint="eastAsia" w:ascii="宋体" w:hAnsi="宋体"/>
        </w:rPr>
        <w:t>23.2.8政府集中采购机构不接受投标截止时间后递交的纸质、电子、传真等所有形式的投标文件。由于对网上政府采购系统操作不熟悉或自身电脑、网络等原因导致不能在投标截止时间之前上传投标文件，政府集中采购机构概不负责。建议于开标前一个工作日完成投标文件的制作与上传，如上传确有困难，请及时咨询。</w:t>
      </w:r>
    </w:p>
    <w:p>
      <w:pPr>
        <w:ind w:firstLine="411" w:firstLineChars="196"/>
        <w:rPr>
          <w:rFonts w:ascii="宋体" w:hAnsi="宋体"/>
        </w:rPr>
      </w:pPr>
      <w:r>
        <w:rPr>
          <w:rFonts w:hint="eastAsia" w:ascii="宋体" w:hAnsi="宋体"/>
        </w:rPr>
        <w:t>23.2.9如果开标时出现网络故障、技术故障，影响了政府采购活动，政府集中采购机构有权采取措施如延期、接受无法从网上上传的投标书等，以保障政府采购活动的公开、公平和公正。</w:t>
      </w:r>
    </w:p>
    <w:p>
      <w:pPr>
        <w:ind w:firstLine="411" w:firstLineChars="196"/>
        <w:rPr>
          <w:rFonts w:ascii="宋体" w:hAnsi="宋体"/>
        </w:rPr>
      </w:pPr>
      <w:r>
        <w:rPr>
          <w:rFonts w:hint="eastAsia" w:ascii="宋体" w:hAnsi="宋体"/>
        </w:rPr>
        <w:t>23.3电报、电话、传真形式的投标概不接受。</w:t>
      </w:r>
    </w:p>
    <w:p>
      <w:pPr>
        <w:ind w:firstLine="413" w:firstLineChars="196"/>
        <w:rPr>
          <w:rFonts w:ascii="宋体" w:hAnsi="宋体"/>
          <w:b/>
        </w:rPr>
      </w:pPr>
      <w:r>
        <w:rPr>
          <w:rFonts w:hint="eastAsia" w:ascii="宋体" w:hAnsi="宋体"/>
          <w:b/>
        </w:rPr>
        <w:t>23.4经投标人电子密钥或电子营业执照加密的投标文件无须盖章或签字，</w:t>
      </w:r>
      <w:r>
        <w:rPr>
          <w:rFonts w:hint="eastAsia" w:ascii="宋体" w:hAnsi="宋体"/>
        </w:rPr>
        <w:t>专用条款另有要求的除外。</w:t>
      </w:r>
    </w:p>
    <w:p>
      <w:pPr>
        <w:ind w:firstLine="413" w:firstLineChars="196"/>
        <w:rPr>
          <w:rFonts w:ascii="宋体" w:hAnsi="宋体"/>
        </w:rPr>
      </w:pPr>
      <w:r>
        <w:rPr>
          <w:rFonts w:hint="eastAsia" w:ascii="宋体" w:hAnsi="宋体"/>
          <w:b/>
        </w:rPr>
        <w:t>23.5</w:t>
      </w:r>
      <w:r>
        <w:rPr>
          <w:rFonts w:hint="eastAsia" w:ascii="宋体" w:hAnsi="宋体"/>
        </w:rPr>
        <w:t xml:space="preserve"> 各类资格（资质）文件提供扫描件，专用条款另有要求的除外。</w:t>
      </w:r>
      <w:bookmarkEnd w:id="38"/>
    </w:p>
    <w:p>
      <w:pPr>
        <w:ind w:firstLine="411" w:firstLineChars="196"/>
        <w:rPr>
          <w:rFonts w:ascii="宋体" w:hAnsi="宋体"/>
          <w:szCs w:val="21"/>
        </w:rPr>
      </w:pPr>
    </w:p>
    <w:p>
      <w:pPr>
        <w:pStyle w:val="3"/>
        <w:numPr>
          <w:ilvl w:val="0"/>
          <w:numId w:val="4"/>
        </w:numPr>
        <w:spacing w:beforeLines="50" w:afterLines="50"/>
        <w:ind w:left="562" w:hanging="562"/>
        <w:rPr>
          <w:sz w:val="28"/>
          <w:szCs w:val="28"/>
        </w:rPr>
      </w:pPr>
      <w:r>
        <w:rPr>
          <w:rFonts w:hint="eastAsia"/>
          <w:sz w:val="28"/>
          <w:szCs w:val="28"/>
        </w:rPr>
        <w:t>投标文件的递交</w:t>
      </w:r>
    </w:p>
    <w:p>
      <w:pPr>
        <w:rPr>
          <w:rFonts w:ascii="黑体" w:hAnsi="宋体" w:eastAsia="黑体"/>
          <w:sz w:val="24"/>
        </w:rPr>
      </w:pPr>
      <w:bookmarkStart w:id="39" w:name="_Hlk72405459"/>
      <w:r>
        <w:rPr>
          <w:rFonts w:hint="eastAsia" w:ascii="黑体" w:hAnsi="宋体" w:eastAsia="黑体"/>
          <w:sz w:val="24"/>
        </w:rPr>
        <w:t>24．投标文件的保密</w:t>
      </w:r>
    </w:p>
    <w:p>
      <w:pPr>
        <w:ind w:firstLine="411" w:firstLineChars="196"/>
        <w:rPr>
          <w:rFonts w:ascii="宋体" w:hAnsi="宋体"/>
        </w:rPr>
      </w:pPr>
      <w:r>
        <w:rPr>
          <w:rFonts w:hint="eastAsia" w:ascii="宋体" w:hAnsi="宋体"/>
        </w:rPr>
        <w:t>24.1在投标文件制作完成后，生成后会选择是否加密投标文件，如不加密则直接点击生成文件即可，如需加密请插入CA锁，点击加密后生成文件，需输入CA锁密码即可加密成功。加密后会提示文件生成成功！</w:t>
      </w:r>
      <w:r>
        <w:rPr>
          <w:rFonts w:hint="eastAsia" w:ascii="宋体" w:hAnsi="宋体"/>
          <w:highlight w:val="yellow"/>
        </w:rPr>
        <w:t>(注意：加密的投标文件开标时须使用加密文件时使用的锁在项目规定时间内解密！)</w:t>
      </w:r>
    </w:p>
    <w:p>
      <w:pPr>
        <w:rPr>
          <w:rFonts w:ascii="宋体" w:hAnsi="宋体"/>
          <w:b/>
        </w:rPr>
      </w:pPr>
      <w:r>
        <w:rPr>
          <w:rFonts w:hint="eastAsia" w:ascii="宋体" w:hAnsi="宋体"/>
          <w:b/>
        </w:rPr>
        <w:t>24.2若采购项目出现延期情况：</w:t>
      </w:r>
    </w:p>
    <w:p>
      <w:pPr>
        <w:ind w:firstLine="422" w:firstLineChars="200"/>
        <w:rPr>
          <w:rFonts w:ascii="黑体" w:hAnsi="宋体" w:eastAsia="黑体"/>
          <w:b/>
          <w:sz w:val="24"/>
        </w:rPr>
      </w:pPr>
      <w:r>
        <w:rPr>
          <w:rFonts w:hint="eastAsia" w:ascii="宋体" w:hAnsi="宋体"/>
          <w:b/>
        </w:rPr>
        <w:t>如果供下载的招标文件有更新，投标人必须重新下载招标文件、重新制作投标文件、重新加密投标文件、重新上传投标文件。</w:t>
      </w:r>
    </w:p>
    <w:p>
      <w:pPr>
        <w:rPr>
          <w:rFonts w:ascii="黑体" w:hAnsi="宋体" w:eastAsia="黑体"/>
          <w:sz w:val="24"/>
        </w:rPr>
      </w:pPr>
      <w:r>
        <w:rPr>
          <w:rFonts w:hint="eastAsia" w:ascii="黑体" w:hAnsi="宋体" w:eastAsia="黑体"/>
          <w:sz w:val="24"/>
        </w:rPr>
        <w:t>25．上传投标文件及投标截止日期</w:t>
      </w:r>
    </w:p>
    <w:p>
      <w:pPr>
        <w:ind w:firstLine="411" w:firstLineChars="196"/>
        <w:rPr>
          <w:rFonts w:ascii="宋体" w:hAnsi="宋体"/>
        </w:rPr>
      </w:pPr>
      <w:r>
        <w:rPr>
          <w:rFonts w:hint="eastAsia" w:ascii="宋体" w:hAnsi="宋体"/>
        </w:rPr>
        <w:t>25</w:t>
      </w:r>
      <w:r>
        <w:rPr>
          <w:rFonts w:ascii="宋体" w:hAnsi="宋体"/>
        </w:rPr>
        <w:t>.</w:t>
      </w:r>
      <w:r>
        <w:rPr>
          <w:rFonts w:hint="eastAsia" w:ascii="宋体" w:hAnsi="宋体"/>
        </w:rPr>
        <w:t>1实行网上投标，</w:t>
      </w:r>
      <w:r>
        <w:rPr>
          <w:rFonts w:ascii="宋体" w:hAnsi="宋体"/>
        </w:rPr>
        <w:t>投标人必须</w:t>
      </w:r>
      <w:r>
        <w:rPr>
          <w:rFonts w:hint="eastAsia" w:ascii="宋体" w:hAnsi="宋体"/>
        </w:rPr>
        <w:t>在招标</w:t>
      </w:r>
      <w:r>
        <w:rPr>
          <w:rFonts w:ascii="宋体" w:hAnsi="宋体"/>
        </w:rPr>
        <w:t>文件规定的投标截止时间前</w:t>
      </w:r>
      <w:r>
        <w:rPr>
          <w:rFonts w:hint="eastAsia" w:ascii="宋体" w:hAnsi="宋体"/>
        </w:rPr>
        <w:t>用电子密钥登录“深圳市自行采购系统（https://trade.szggzy.com/ggzy/center/#/login）”上传投标文件。如上传过程中遇到问题，可拨打采购公告中的技术支持电话。如多次上传均告失败，请在投标截止时间之前携带加密后的电子投标文件送达至</w:t>
      </w:r>
      <w:r>
        <w:rPr>
          <w:rFonts w:hint="eastAsia" w:ascii="宋体" w:hAnsi="宋体"/>
          <w:b/>
          <w:bCs/>
          <w:szCs w:val="21"/>
        </w:rPr>
        <w:t>深圳公共资源交易中心（深圳交易集团有限公司宝安分公司）</w:t>
      </w:r>
      <w:r>
        <w:rPr>
          <w:rFonts w:hint="eastAsia" w:ascii="宋体" w:hAnsi="宋体"/>
          <w:b/>
          <w:bCs/>
        </w:rPr>
        <w:t>一楼服务大厅（地址：深圳市宝安区湖滨东路40号）</w:t>
      </w:r>
      <w:r>
        <w:rPr>
          <w:rFonts w:ascii="宋体" w:hAnsi="宋体"/>
          <w:b/>
          <w:bCs/>
        </w:rPr>
        <w:t>协助上传</w:t>
      </w:r>
      <w:r>
        <w:rPr>
          <w:rFonts w:hint="eastAsia" w:ascii="宋体" w:hAnsi="宋体"/>
          <w:b/>
          <w:bCs/>
        </w:rPr>
        <w:t>，</w:t>
      </w:r>
      <w:r>
        <w:rPr>
          <w:rFonts w:ascii="宋体" w:hAnsi="宋体"/>
          <w:b/>
          <w:bCs/>
        </w:rPr>
        <w:t>但上传过程</w:t>
      </w:r>
      <w:r>
        <w:rPr>
          <w:rFonts w:hint="eastAsia" w:ascii="宋体" w:hAnsi="宋体"/>
          <w:b/>
          <w:bCs/>
        </w:rPr>
        <w:t>中</w:t>
      </w:r>
      <w:r>
        <w:rPr>
          <w:rFonts w:ascii="宋体" w:hAnsi="宋体"/>
          <w:b/>
          <w:bCs/>
        </w:rPr>
        <w:t>投标截止时间到达仍无法上传成功的，由投标人自行负责</w:t>
      </w:r>
      <w:r>
        <w:rPr>
          <w:rFonts w:hint="eastAsia" w:ascii="宋体" w:hAnsi="宋体"/>
        </w:rPr>
        <w:t>。</w:t>
      </w:r>
    </w:p>
    <w:p>
      <w:pPr>
        <w:ind w:firstLine="411" w:firstLineChars="196"/>
        <w:rPr>
          <w:rFonts w:ascii="宋体" w:hAnsi="宋体"/>
        </w:rPr>
      </w:pPr>
      <w:r>
        <w:rPr>
          <w:rFonts w:hint="eastAsia" w:ascii="宋体" w:hAnsi="宋体"/>
        </w:rPr>
        <w:t>25.2政府集中采购机构可以按本通用条款第13条规定，通过修改招标文件自行决定酌情延长投标截止期。在此情况下，政府集中采购机构、采购人和投标人受投标截止期制约的所有权利和义务均应延长至新的截止期。</w:t>
      </w:r>
    </w:p>
    <w:p>
      <w:pPr>
        <w:ind w:firstLine="411" w:firstLineChars="196"/>
        <w:rPr>
          <w:rFonts w:ascii="宋体" w:hAnsi="宋体"/>
        </w:rPr>
      </w:pPr>
      <w:r>
        <w:rPr>
          <w:rFonts w:hint="eastAsia" w:ascii="宋体" w:hAnsi="宋体"/>
        </w:rPr>
        <w:t>25</w:t>
      </w:r>
      <w:r>
        <w:rPr>
          <w:rFonts w:ascii="宋体" w:hAnsi="宋体"/>
        </w:rPr>
        <w:t>.</w:t>
      </w:r>
      <w:r>
        <w:rPr>
          <w:rFonts w:hint="eastAsia" w:ascii="宋体" w:hAnsi="宋体"/>
        </w:rPr>
        <w:t>3投标截止时间以后不得上传投标文件。</w:t>
      </w:r>
    </w:p>
    <w:p>
      <w:pPr>
        <w:ind w:firstLine="411" w:firstLineChars="196"/>
        <w:rPr>
          <w:rFonts w:ascii="宋体" w:hAnsi="宋体"/>
        </w:rPr>
      </w:pPr>
    </w:p>
    <w:p>
      <w:pPr>
        <w:ind w:firstLine="411" w:firstLineChars="196"/>
        <w:rPr>
          <w:rFonts w:ascii="宋体" w:hAnsi="宋体"/>
        </w:rPr>
      </w:pPr>
    </w:p>
    <w:bookmarkEnd w:id="39"/>
    <w:p>
      <w:pPr>
        <w:rPr>
          <w:rFonts w:ascii="黑体" w:hAnsi="宋体" w:eastAsia="黑体"/>
          <w:sz w:val="24"/>
        </w:rPr>
      </w:pPr>
      <w:r>
        <w:rPr>
          <w:rFonts w:hint="eastAsia" w:ascii="黑体" w:hAnsi="宋体" w:eastAsia="黑体"/>
          <w:sz w:val="24"/>
        </w:rPr>
        <w:t>26. 样品、现场演示、方案讲解</w:t>
      </w:r>
    </w:p>
    <w:p>
      <w:pPr>
        <w:ind w:firstLine="411" w:firstLineChars="196"/>
        <w:rPr>
          <w:rFonts w:ascii="宋体" w:hAnsi="宋体"/>
          <w:szCs w:val="21"/>
        </w:rPr>
      </w:pPr>
      <w:r>
        <w:rPr>
          <w:rFonts w:hint="eastAsia" w:ascii="宋体" w:hAnsi="宋体"/>
          <w:szCs w:val="21"/>
        </w:rPr>
        <w:t>26.1 样品、现场演示、方案讲解等事项在招标文件专用条款中进行规定。</w:t>
      </w:r>
    </w:p>
    <w:p>
      <w:pPr>
        <w:rPr>
          <w:rFonts w:ascii="黑体" w:hAnsi="宋体" w:eastAsia="黑体"/>
          <w:sz w:val="24"/>
        </w:rPr>
      </w:pPr>
      <w:bookmarkStart w:id="40" w:name="_Hlk72428346"/>
      <w:r>
        <w:rPr>
          <w:rFonts w:ascii="黑体" w:hAnsi="宋体" w:eastAsia="黑体"/>
          <w:sz w:val="24"/>
        </w:rPr>
        <w:t>2</w:t>
      </w:r>
      <w:r>
        <w:rPr>
          <w:rFonts w:hint="eastAsia" w:ascii="黑体" w:hAnsi="宋体" w:eastAsia="黑体"/>
          <w:sz w:val="24"/>
        </w:rPr>
        <w:t>7．</w:t>
      </w:r>
      <w:r>
        <w:rPr>
          <w:rFonts w:ascii="黑体" w:hAnsi="宋体" w:eastAsia="黑体"/>
          <w:sz w:val="24"/>
        </w:rPr>
        <w:t>投标文件的修改和撤销</w:t>
      </w:r>
    </w:p>
    <w:p>
      <w:pPr>
        <w:ind w:firstLine="411" w:firstLineChars="196"/>
        <w:rPr>
          <w:rFonts w:ascii="宋体" w:hAnsi="宋体"/>
        </w:rPr>
      </w:pPr>
      <w:r>
        <w:rPr>
          <w:rFonts w:ascii="宋体" w:hAnsi="宋体"/>
        </w:rPr>
        <w:t>2</w:t>
      </w:r>
      <w:r>
        <w:rPr>
          <w:rFonts w:hint="eastAsia" w:ascii="宋体" w:hAnsi="宋体"/>
        </w:rPr>
        <w:t>7</w:t>
      </w:r>
      <w:r>
        <w:rPr>
          <w:rFonts w:ascii="宋体" w:hAnsi="宋体"/>
        </w:rPr>
        <w:t>.</w:t>
      </w:r>
      <w:r>
        <w:rPr>
          <w:rFonts w:hint="eastAsia" w:ascii="宋体" w:hAnsi="宋体"/>
        </w:rPr>
        <w:t>1</w:t>
      </w:r>
      <w:r>
        <w:rPr>
          <w:rFonts w:ascii="宋体" w:hAnsi="宋体"/>
        </w:rPr>
        <w:t>投标方在提交投标文件后可对其投标文件进行修改</w:t>
      </w:r>
      <w:r>
        <w:rPr>
          <w:rFonts w:hint="eastAsia" w:ascii="宋体" w:hAnsi="宋体"/>
        </w:rPr>
        <w:t>并重新上传投标文件</w:t>
      </w:r>
      <w:r>
        <w:rPr>
          <w:rFonts w:ascii="宋体" w:hAnsi="宋体"/>
        </w:rPr>
        <w:t>或</w:t>
      </w:r>
      <w:r>
        <w:rPr>
          <w:rFonts w:hint="eastAsia" w:ascii="宋体" w:hAnsi="宋体"/>
        </w:rPr>
        <w:t>在网上进行</w:t>
      </w:r>
      <w:r>
        <w:rPr>
          <w:rFonts w:ascii="宋体" w:hAnsi="宋体"/>
        </w:rPr>
        <w:t>撤销</w:t>
      </w:r>
      <w:r>
        <w:rPr>
          <w:rFonts w:hint="eastAsia" w:ascii="宋体" w:hAnsi="宋体"/>
        </w:rPr>
        <w:t>投标的操作</w:t>
      </w:r>
      <w:r>
        <w:rPr>
          <w:rFonts w:ascii="宋体" w:hAnsi="宋体"/>
        </w:rPr>
        <w:t>。</w:t>
      </w:r>
    </w:p>
    <w:p>
      <w:pPr>
        <w:ind w:firstLine="411" w:firstLineChars="196"/>
        <w:rPr>
          <w:rFonts w:ascii="宋体" w:hAnsi="宋体"/>
        </w:rPr>
      </w:pPr>
      <w:r>
        <w:rPr>
          <w:rFonts w:ascii="宋体" w:hAnsi="宋体"/>
        </w:rPr>
        <w:t>2</w:t>
      </w:r>
      <w:r>
        <w:rPr>
          <w:rFonts w:hint="eastAsia" w:ascii="宋体" w:hAnsi="宋体"/>
        </w:rPr>
        <w:t>7</w:t>
      </w:r>
      <w:r>
        <w:rPr>
          <w:rFonts w:ascii="宋体" w:hAnsi="宋体"/>
        </w:rPr>
        <w:t>.</w:t>
      </w:r>
      <w:r>
        <w:rPr>
          <w:rFonts w:hint="eastAsia" w:ascii="宋体" w:hAnsi="宋体"/>
        </w:rPr>
        <w:t>2</w:t>
      </w:r>
      <w:r>
        <w:rPr>
          <w:rFonts w:ascii="宋体" w:hAnsi="宋体"/>
        </w:rPr>
        <w:t>投标截止时间以后不得修改投标文件。</w:t>
      </w:r>
    </w:p>
    <w:p>
      <w:pPr>
        <w:ind w:firstLine="411" w:firstLineChars="196"/>
        <w:rPr>
          <w:rFonts w:ascii="宋体" w:hAnsi="宋体"/>
        </w:rPr>
      </w:pPr>
      <w:r>
        <w:rPr>
          <w:rFonts w:ascii="宋体" w:hAnsi="宋体"/>
        </w:rPr>
        <w:t>2</w:t>
      </w:r>
      <w:r>
        <w:rPr>
          <w:rFonts w:hint="eastAsia" w:ascii="宋体" w:hAnsi="宋体"/>
        </w:rPr>
        <w:t>7</w:t>
      </w:r>
      <w:r>
        <w:rPr>
          <w:rFonts w:ascii="宋体" w:hAnsi="宋体"/>
        </w:rPr>
        <w:t>.</w:t>
      </w:r>
      <w:r>
        <w:rPr>
          <w:rFonts w:hint="eastAsia" w:ascii="宋体" w:hAnsi="宋体"/>
        </w:rPr>
        <w:t>3从投标截止期至投标人在投标文件中确定的投标有效期之间的这段时间内，投标人不得撤回其投标。</w:t>
      </w:r>
    </w:p>
    <w:p>
      <w:pPr>
        <w:ind w:firstLine="411" w:firstLineChars="196"/>
        <w:rPr>
          <w:rFonts w:ascii="宋体" w:hAnsi="宋体"/>
          <w:szCs w:val="21"/>
        </w:rPr>
      </w:pPr>
      <w:r>
        <w:rPr>
          <w:rFonts w:hint="eastAsia" w:ascii="宋体" w:hAnsi="宋体"/>
          <w:szCs w:val="21"/>
        </w:rPr>
        <w:t>27.4政府集中采购机构不退还投标文件，专用条款另有规定的除外。</w:t>
      </w:r>
    </w:p>
    <w:bookmarkEnd w:id="40"/>
    <w:p>
      <w:pPr>
        <w:pStyle w:val="3"/>
        <w:numPr>
          <w:ilvl w:val="0"/>
          <w:numId w:val="4"/>
        </w:numPr>
        <w:spacing w:beforeLines="50" w:afterLines="50"/>
        <w:ind w:left="562" w:hanging="562"/>
        <w:rPr>
          <w:sz w:val="28"/>
          <w:szCs w:val="28"/>
        </w:rPr>
      </w:pPr>
      <w:r>
        <w:rPr>
          <w:rFonts w:hint="eastAsia"/>
          <w:sz w:val="28"/>
          <w:szCs w:val="28"/>
        </w:rPr>
        <w:t>开标</w:t>
      </w:r>
    </w:p>
    <w:p>
      <w:pPr>
        <w:rPr>
          <w:rFonts w:ascii="黑体" w:hAnsi="宋体" w:eastAsia="黑体"/>
          <w:sz w:val="24"/>
        </w:rPr>
      </w:pPr>
      <w:r>
        <w:rPr>
          <w:rFonts w:hint="eastAsia" w:ascii="黑体" w:hAnsi="宋体" w:eastAsia="黑体"/>
          <w:sz w:val="24"/>
        </w:rPr>
        <w:t>28．开标</w:t>
      </w:r>
    </w:p>
    <w:p>
      <w:pPr>
        <w:ind w:firstLine="359" w:firstLineChars="171"/>
        <w:rPr>
          <w:rFonts w:ascii="宋体" w:hAnsi="宋体"/>
          <w:szCs w:val="21"/>
        </w:rPr>
      </w:pPr>
      <w:r>
        <w:rPr>
          <w:rFonts w:ascii="宋体" w:hAnsi="宋体"/>
          <w:szCs w:val="21"/>
        </w:rPr>
        <w:t>2</w:t>
      </w:r>
      <w:r>
        <w:rPr>
          <w:rFonts w:hint="eastAsia" w:ascii="宋体" w:hAnsi="宋体"/>
          <w:szCs w:val="21"/>
        </w:rPr>
        <w:t>8</w:t>
      </w:r>
      <w:r>
        <w:rPr>
          <w:rFonts w:ascii="宋体" w:hAnsi="宋体"/>
          <w:szCs w:val="21"/>
        </w:rPr>
        <w:t>.</w:t>
      </w:r>
      <w:r>
        <w:rPr>
          <w:rFonts w:hint="eastAsia" w:ascii="宋体" w:hAnsi="宋体"/>
          <w:szCs w:val="21"/>
        </w:rPr>
        <w:t>1投标人须在开标当日的开标时间至解密截止时间内进行解密，逾期未解密的作无效处理。解密方法：登录“</w:t>
      </w:r>
      <w:r>
        <w:rPr>
          <w:rFonts w:hint="eastAsia" w:ascii="宋体" w:hAnsi="宋体"/>
        </w:rPr>
        <w:t>深圳市自行采购系统（https://trade.szggzy.com/ggzy/center/#/login）</w:t>
      </w:r>
      <w:r>
        <w:rPr>
          <w:rFonts w:hint="eastAsia" w:ascii="宋体" w:hAnsi="宋体"/>
          <w:szCs w:val="21"/>
        </w:rPr>
        <w:t>”，使用本单位制作电子投标文件同一个电子密钥进行在线解密、查询开标情况。</w:t>
      </w:r>
    </w:p>
    <w:p>
      <w:pPr>
        <w:ind w:firstLine="315" w:firstLineChars="150"/>
        <w:rPr>
          <w:rFonts w:ascii="宋体" w:hAnsi="宋体"/>
          <w:szCs w:val="21"/>
        </w:rPr>
      </w:pPr>
      <w:r>
        <w:rPr>
          <w:rFonts w:hint="eastAsia" w:ascii="宋体" w:hAnsi="宋体"/>
          <w:szCs w:val="21"/>
        </w:rPr>
        <w:t>28.2政府集中采购机构将在满足开标条件（①解密时间结束，解密后的投标供应商数量满足开标要求或②解密时间结束前所有投标供应商均完成投标文件解密）后，对投标文件进行开标，并在网上公布开标结果。</w:t>
      </w:r>
    </w:p>
    <w:p>
      <w:pPr>
        <w:ind w:firstLine="315" w:firstLineChars="150"/>
        <w:rPr>
          <w:rFonts w:ascii="宋体" w:hAnsi="宋体"/>
          <w:szCs w:val="21"/>
        </w:rPr>
      </w:pPr>
    </w:p>
    <w:p>
      <w:pPr>
        <w:pStyle w:val="3"/>
        <w:numPr>
          <w:ilvl w:val="0"/>
          <w:numId w:val="4"/>
        </w:numPr>
        <w:spacing w:beforeLines="50" w:afterLines="50"/>
        <w:ind w:left="562" w:hanging="562"/>
        <w:rPr>
          <w:sz w:val="28"/>
          <w:szCs w:val="28"/>
        </w:rPr>
      </w:pPr>
      <w:r>
        <w:rPr>
          <w:rFonts w:hint="eastAsia"/>
          <w:sz w:val="28"/>
          <w:szCs w:val="28"/>
        </w:rPr>
        <w:t>评审要求</w:t>
      </w:r>
    </w:p>
    <w:p>
      <w:pPr>
        <w:rPr>
          <w:rFonts w:ascii="黑体" w:hAnsi="宋体" w:eastAsia="黑体"/>
          <w:sz w:val="24"/>
        </w:rPr>
      </w:pPr>
      <w:r>
        <w:rPr>
          <w:rFonts w:hint="eastAsia" w:ascii="黑体" w:hAnsi="宋体" w:eastAsia="黑体"/>
          <w:sz w:val="24"/>
        </w:rPr>
        <w:t>29．评审委员会组成</w:t>
      </w:r>
    </w:p>
    <w:p>
      <w:pPr>
        <w:ind w:firstLine="411" w:firstLineChars="196"/>
        <w:rPr>
          <w:rFonts w:ascii="宋体" w:hAnsi="宋体"/>
        </w:rPr>
      </w:pPr>
      <w:r>
        <w:rPr>
          <w:rFonts w:hint="eastAsia" w:ascii="宋体" w:hAnsi="宋体"/>
        </w:rPr>
        <w:t>29.1网上开标结束后召开评审会议，</w:t>
      </w:r>
      <w:r>
        <w:rPr>
          <w:rFonts w:hint="eastAsia" w:ascii="宋体" w:hAnsi="宋体"/>
          <w:szCs w:val="21"/>
        </w:rPr>
        <w:t>评审委员会</w:t>
      </w:r>
      <w:r>
        <w:rPr>
          <w:rFonts w:hint="eastAsia" w:ascii="宋体" w:hAnsi="宋体"/>
        </w:rPr>
        <w:t>由政府集中采购机构依法组建，负责评审活动。</w:t>
      </w:r>
    </w:p>
    <w:p>
      <w:pPr>
        <w:ind w:firstLine="411" w:firstLineChars="196"/>
        <w:rPr>
          <w:rFonts w:ascii="宋体" w:hAnsi="宋体"/>
        </w:rPr>
      </w:pPr>
      <w:bookmarkStart w:id="41" w:name="_Hlk72436580"/>
      <w:r>
        <w:rPr>
          <w:rFonts w:hint="eastAsia" w:ascii="宋体" w:hAnsi="宋体"/>
        </w:rPr>
        <w:t>评审委员会由采购人代表和评审专家组成，成员人数应当为5人以上单数（部分条件下为7人以上单数），其中评审专家不得少于成员总数的三分之二。</w:t>
      </w:r>
      <w:bookmarkEnd w:id="41"/>
      <w:r>
        <w:rPr>
          <w:rFonts w:hint="eastAsia" w:ascii="宋体" w:hAnsi="宋体"/>
        </w:rPr>
        <w:t>评定</w:t>
      </w:r>
      <w:r>
        <w:rPr>
          <w:rFonts w:hint="eastAsia"/>
        </w:rPr>
        <w:t>分离项目</w:t>
      </w:r>
      <w:r>
        <w:t>评审专家</w:t>
      </w:r>
      <w:r>
        <w:rPr>
          <w:rFonts w:hint="eastAsia"/>
        </w:rPr>
        <w:t>均</w:t>
      </w:r>
      <w:r>
        <w:t>由</w:t>
      </w:r>
      <w:r>
        <w:rPr>
          <w:rFonts w:hint="eastAsia"/>
        </w:rPr>
        <w:t>评审专家组成。</w:t>
      </w:r>
      <w:r>
        <w:rPr>
          <w:rFonts w:hint="eastAsia" w:ascii="宋体" w:hAnsi="宋体"/>
          <w:szCs w:val="21"/>
        </w:rPr>
        <w:t>评审专家一般是</w:t>
      </w:r>
      <w:r>
        <w:rPr>
          <w:rFonts w:hint="eastAsia" w:ascii="宋体" w:hAnsi="宋体"/>
        </w:rPr>
        <w:t>从深圳市政府采购评审专家库中随机抽取。采购人代表须持本单位签发的《评审授权书》参加评审。</w:t>
      </w:r>
    </w:p>
    <w:p>
      <w:pPr>
        <w:ind w:firstLine="411" w:firstLineChars="196"/>
        <w:rPr>
          <w:rFonts w:ascii="宋体" w:hAnsi="宋体"/>
        </w:rPr>
      </w:pPr>
      <w:r>
        <w:rPr>
          <w:rFonts w:hint="eastAsia" w:ascii="宋体" w:hAnsi="宋体"/>
        </w:rPr>
        <w:t>29.2评审定标应当遵循公平、公正、科学、择优的原则。</w:t>
      </w:r>
    </w:p>
    <w:p>
      <w:pPr>
        <w:ind w:firstLine="411" w:firstLineChars="196"/>
        <w:rPr>
          <w:rFonts w:ascii="宋体" w:hAnsi="宋体"/>
        </w:rPr>
      </w:pPr>
      <w:r>
        <w:rPr>
          <w:rFonts w:hint="eastAsia" w:ascii="宋体" w:hAnsi="宋体"/>
        </w:rPr>
        <w:t>29.3评审活动依法进行，任何单位和个人不得非法干预评标过程和结果。</w:t>
      </w:r>
    </w:p>
    <w:p>
      <w:pPr>
        <w:ind w:firstLine="411" w:firstLineChars="196"/>
        <w:rPr>
          <w:rFonts w:ascii="宋体" w:hAnsi="宋体"/>
        </w:rPr>
      </w:pPr>
      <w:r>
        <w:rPr>
          <w:rFonts w:hint="eastAsia" w:ascii="宋体" w:hAnsi="宋体"/>
        </w:rPr>
        <w:t>29.4评审过程中不允许违背评标程序或采用招标文件未载明的评标方法或评标因素进行评标。</w:t>
      </w:r>
    </w:p>
    <w:p>
      <w:pPr>
        <w:ind w:firstLine="411" w:firstLineChars="196"/>
        <w:rPr>
          <w:rFonts w:ascii="宋体" w:hAnsi="宋体"/>
          <w:bCs/>
        </w:rPr>
      </w:pPr>
      <w:r>
        <w:rPr>
          <w:rFonts w:hint="eastAsia" w:ascii="宋体" w:hAnsi="宋体"/>
          <w:bCs/>
        </w:rPr>
        <w:t>29.5 开标后，直到签订合同为止，凡属于对投标文件的审查、澄清、评价和比较的有关资料以及中标候选人的推荐情况、与评审有关的其他任何情况均严格保密（</w:t>
      </w:r>
      <w:r>
        <w:rPr>
          <w:rFonts w:hint="eastAsia"/>
        </w:rPr>
        <w:t>信息公开的内容除外</w:t>
      </w:r>
      <w:r>
        <w:rPr>
          <w:rFonts w:hint="eastAsia" w:ascii="宋体" w:hAnsi="宋体"/>
          <w:bCs/>
        </w:rPr>
        <w:t>）。</w:t>
      </w:r>
    </w:p>
    <w:p>
      <w:pPr>
        <w:rPr>
          <w:rFonts w:ascii="黑体" w:hAnsi="宋体" w:eastAsia="黑体"/>
          <w:sz w:val="24"/>
        </w:rPr>
      </w:pPr>
      <w:r>
        <w:rPr>
          <w:rFonts w:hint="eastAsia" w:ascii="黑体" w:hAnsi="宋体" w:eastAsia="黑体"/>
          <w:sz w:val="24"/>
        </w:rPr>
        <w:t>30．向评审委员会提供的资料</w:t>
      </w:r>
    </w:p>
    <w:p>
      <w:pPr>
        <w:ind w:firstLine="411" w:firstLineChars="196"/>
        <w:rPr>
          <w:rFonts w:ascii="宋体" w:hAnsi="宋体"/>
        </w:rPr>
      </w:pPr>
      <w:r>
        <w:rPr>
          <w:rFonts w:hint="eastAsia" w:ascii="宋体" w:hAnsi="宋体"/>
        </w:rPr>
        <w:t>30.1公开发布的招标文件，包括图纸、服务清单、答疑文件等；</w:t>
      </w:r>
    </w:p>
    <w:p>
      <w:pPr>
        <w:ind w:firstLine="411" w:firstLineChars="196"/>
        <w:rPr>
          <w:rFonts w:ascii="宋体" w:hAnsi="宋体"/>
        </w:rPr>
      </w:pPr>
      <w:r>
        <w:rPr>
          <w:rFonts w:hint="eastAsia" w:ascii="宋体" w:hAnsi="宋体"/>
        </w:rPr>
        <w:t>30.2其他评标必须的资料。</w:t>
      </w:r>
    </w:p>
    <w:p>
      <w:pPr>
        <w:ind w:firstLine="411" w:firstLineChars="196"/>
        <w:rPr>
          <w:rFonts w:ascii="宋体" w:hAnsi="宋体"/>
        </w:rPr>
      </w:pPr>
      <w:r>
        <w:rPr>
          <w:rFonts w:hint="eastAsia" w:ascii="宋体" w:hAnsi="宋体"/>
        </w:rPr>
        <w:t>30.3</w:t>
      </w:r>
      <w:r>
        <w:rPr>
          <w:rFonts w:hint="eastAsia" w:ascii="宋体" w:hAnsi="宋体"/>
          <w:szCs w:val="21"/>
        </w:rPr>
        <w:t>评审委员会</w:t>
      </w:r>
      <w:r>
        <w:rPr>
          <w:rFonts w:hint="eastAsia" w:ascii="宋体" w:hAnsi="宋体"/>
        </w:rPr>
        <w:t>应当认真研究招标文件，至少应了解熟悉以下内容：</w:t>
      </w:r>
    </w:p>
    <w:p>
      <w:pPr>
        <w:ind w:firstLine="411" w:firstLineChars="196"/>
        <w:rPr>
          <w:rFonts w:ascii="宋体" w:hAnsi="宋体"/>
        </w:rPr>
      </w:pPr>
      <w:r>
        <w:rPr>
          <w:rFonts w:hint="eastAsia" w:ascii="宋体" w:hAnsi="宋体"/>
        </w:rPr>
        <w:t>（1）招标的目的；</w:t>
      </w:r>
    </w:p>
    <w:p>
      <w:pPr>
        <w:ind w:firstLine="411" w:firstLineChars="196"/>
        <w:rPr>
          <w:rFonts w:ascii="宋体" w:hAnsi="宋体"/>
        </w:rPr>
      </w:pPr>
      <w:r>
        <w:rPr>
          <w:rFonts w:hint="eastAsia" w:ascii="宋体" w:hAnsi="宋体"/>
        </w:rPr>
        <w:t>（2）招标项目需求的范围和性质；</w:t>
      </w:r>
    </w:p>
    <w:p>
      <w:pPr>
        <w:ind w:firstLine="411" w:firstLineChars="196"/>
        <w:rPr>
          <w:rFonts w:ascii="宋体" w:hAnsi="宋体"/>
        </w:rPr>
      </w:pPr>
      <w:r>
        <w:rPr>
          <w:rFonts w:hint="eastAsia" w:ascii="宋体" w:hAnsi="宋体"/>
        </w:rPr>
        <w:t>（3）招标文件规定的投标人的资格、财政预算限额、商务条款；</w:t>
      </w:r>
    </w:p>
    <w:p>
      <w:pPr>
        <w:ind w:firstLine="411" w:firstLineChars="196"/>
        <w:rPr>
          <w:rFonts w:ascii="宋体" w:hAnsi="宋体"/>
        </w:rPr>
      </w:pPr>
      <w:r>
        <w:rPr>
          <w:rFonts w:hint="eastAsia" w:ascii="宋体" w:hAnsi="宋体"/>
        </w:rPr>
        <w:t>（4）招标文件规定的评标程序、评标方法和评标因素；</w:t>
      </w:r>
    </w:p>
    <w:p>
      <w:pPr>
        <w:ind w:firstLine="411" w:firstLineChars="196"/>
        <w:rPr>
          <w:rFonts w:ascii="宋体" w:hAnsi="宋体"/>
        </w:rPr>
      </w:pPr>
      <w:r>
        <w:rPr>
          <w:rFonts w:hint="eastAsia" w:ascii="宋体" w:hAnsi="宋体"/>
        </w:rPr>
        <w:t>（5）招标文件所列示的资格性审查表及符合性审查表。</w:t>
      </w:r>
    </w:p>
    <w:p>
      <w:pPr>
        <w:rPr>
          <w:rFonts w:ascii="黑体" w:hAnsi="宋体" w:eastAsia="黑体"/>
          <w:sz w:val="24"/>
        </w:rPr>
      </w:pPr>
      <w:r>
        <w:rPr>
          <w:rFonts w:hint="eastAsia" w:ascii="黑体" w:hAnsi="宋体" w:eastAsia="黑体"/>
          <w:sz w:val="24"/>
        </w:rPr>
        <w:t>31．独立评审</w:t>
      </w:r>
    </w:p>
    <w:p>
      <w:pPr>
        <w:ind w:firstLine="411" w:firstLineChars="196"/>
        <w:rPr>
          <w:rFonts w:ascii="宋体" w:hAnsi="宋体"/>
          <w:bCs/>
        </w:rPr>
      </w:pPr>
      <w:r>
        <w:rPr>
          <w:rFonts w:hint="eastAsia" w:ascii="宋体" w:hAnsi="宋体"/>
          <w:bCs/>
        </w:rPr>
        <w:t>3</w:t>
      </w:r>
      <w:r>
        <w:rPr>
          <w:rFonts w:ascii="宋体" w:hAnsi="宋体"/>
          <w:bCs/>
        </w:rPr>
        <w:t>1</w:t>
      </w:r>
      <w:r>
        <w:rPr>
          <w:rFonts w:hint="eastAsia" w:ascii="宋体" w:hAnsi="宋体"/>
          <w:bCs/>
        </w:rPr>
        <w:t>.1</w:t>
      </w:r>
      <w:r>
        <w:rPr>
          <w:rFonts w:hint="eastAsia" w:ascii="宋体" w:hAnsi="宋体"/>
          <w:szCs w:val="21"/>
        </w:rPr>
        <w:t>评审委员会</w:t>
      </w:r>
      <w:r>
        <w:rPr>
          <w:rFonts w:hint="eastAsia" w:ascii="宋体" w:hAnsi="宋体"/>
          <w:bCs/>
        </w:rPr>
        <w:t>成员的评标活动应当独立进行，并应遵循投标文件初审、澄清有关问题、比较与评价、确定中标供应商、编写评审报告的工作程序。</w:t>
      </w:r>
    </w:p>
    <w:p>
      <w:pPr>
        <w:ind w:firstLine="411" w:firstLineChars="196"/>
        <w:rPr>
          <w:rFonts w:ascii="宋体" w:hAnsi="宋体"/>
          <w:bCs/>
          <w:szCs w:val="21"/>
        </w:rPr>
      </w:pPr>
    </w:p>
    <w:p>
      <w:pPr>
        <w:pStyle w:val="3"/>
        <w:numPr>
          <w:ilvl w:val="0"/>
          <w:numId w:val="4"/>
        </w:numPr>
        <w:spacing w:beforeLines="50" w:afterLines="50"/>
        <w:ind w:left="562" w:hanging="562"/>
        <w:rPr>
          <w:sz w:val="28"/>
          <w:szCs w:val="28"/>
        </w:rPr>
      </w:pPr>
      <w:r>
        <w:rPr>
          <w:rFonts w:hint="eastAsia"/>
          <w:sz w:val="28"/>
          <w:szCs w:val="28"/>
        </w:rPr>
        <w:t>评审程序及评审方法</w:t>
      </w:r>
    </w:p>
    <w:p>
      <w:pPr>
        <w:rPr>
          <w:rFonts w:ascii="黑体" w:hAnsi="宋体" w:eastAsia="黑体"/>
          <w:sz w:val="24"/>
        </w:rPr>
      </w:pPr>
      <w:r>
        <w:rPr>
          <w:rFonts w:hint="eastAsia" w:ascii="黑体" w:hAnsi="宋体" w:eastAsia="黑体"/>
          <w:sz w:val="24"/>
        </w:rPr>
        <w:t>32．投标文件初审</w:t>
      </w:r>
    </w:p>
    <w:p>
      <w:pPr>
        <w:ind w:firstLine="411" w:firstLineChars="196"/>
        <w:rPr>
          <w:rFonts w:ascii="宋体" w:hAnsi="宋体"/>
        </w:rPr>
      </w:pPr>
      <w:r>
        <w:rPr>
          <w:rFonts w:hint="eastAsia" w:ascii="宋体" w:hAnsi="宋体"/>
        </w:rPr>
        <w:t>32.1投标文件初审包括资格性审查和符合性审查。</w:t>
      </w:r>
    </w:p>
    <w:p>
      <w:pPr>
        <w:ind w:firstLine="411" w:firstLineChars="196"/>
        <w:rPr>
          <w:rFonts w:ascii="宋体" w:hAnsi="宋体"/>
        </w:rPr>
      </w:pPr>
      <w:r>
        <w:rPr>
          <w:rFonts w:hint="eastAsia" w:ascii="宋体" w:hAnsi="宋体"/>
        </w:rPr>
        <w:t>资格性审查：依据法律法规和招标文件的规定，对投标文件中的资格证明等进行审查，以确定投标供应商是否具备投标资格。</w:t>
      </w:r>
    </w:p>
    <w:p>
      <w:pPr>
        <w:ind w:firstLine="411" w:firstLineChars="196"/>
        <w:rPr>
          <w:rFonts w:ascii="宋体" w:hAnsi="宋体"/>
        </w:rPr>
      </w:pPr>
      <w:r>
        <w:rPr>
          <w:rFonts w:hint="eastAsia" w:ascii="宋体" w:hAnsi="宋体"/>
        </w:rPr>
        <w:t>符合性审查：依据招标文件的规定，对投标文件的有效性、完整性和对招标文件的响应程度进行审查，以确定是否满足符合性审查的要求。</w:t>
      </w:r>
    </w:p>
    <w:p>
      <w:pPr>
        <w:ind w:firstLine="411" w:firstLineChars="196"/>
        <w:rPr>
          <w:rFonts w:ascii="宋体" w:hAnsi="宋体"/>
        </w:rPr>
      </w:pPr>
      <w:r>
        <w:rPr>
          <w:rFonts w:hint="eastAsia" w:ascii="宋体" w:hAnsi="宋体"/>
        </w:rPr>
        <w:t>32.2 投标文件初审内容请详见《资格性审查表》和《符合性审查表》部分。投标人若有一条审查不通过则按投标无效处理。</w:t>
      </w:r>
    </w:p>
    <w:p>
      <w:pPr>
        <w:ind w:firstLine="411" w:firstLineChars="196"/>
        <w:rPr>
          <w:rFonts w:ascii="宋体" w:hAnsi="宋体"/>
          <w:bCs/>
        </w:rPr>
      </w:pPr>
      <w:r>
        <w:rPr>
          <w:rFonts w:hint="eastAsia" w:ascii="宋体" w:hAnsi="宋体"/>
          <w:bCs/>
        </w:rPr>
        <w:t>32.3 投标文件初审中关于供应商家数的计算:</w:t>
      </w:r>
    </w:p>
    <w:p>
      <w:pPr>
        <w:ind w:firstLine="411" w:firstLineChars="196"/>
        <w:rPr>
          <w:rFonts w:ascii="宋体" w:hAnsi="宋体"/>
          <w:bCs/>
        </w:rPr>
      </w:pPr>
      <w:r>
        <w:rPr>
          <w:rFonts w:hint="eastAsia" w:ascii="宋体" w:hAnsi="宋体"/>
          <w:bCs/>
        </w:rPr>
        <w:t>32.3.1采用最低评标价法的采购项目，提供相同品牌产品的不同投标人参加同一合同项下投标的，以其中通过资格审查、符合性审查且报价最低的参加评标；报价相同的，由采购人或者采购人委托评审委员会按照招标文件规定的方式确定一个参加评审的投标人，招标文件未规定的采取随机抽取方式确定，其他投标无效。</w:t>
      </w:r>
    </w:p>
    <w:p>
      <w:pPr>
        <w:ind w:firstLine="411" w:firstLineChars="196"/>
        <w:rPr>
          <w:rFonts w:ascii="宋体" w:hAnsi="宋体"/>
          <w:bCs/>
        </w:rPr>
      </w:pPr>
      <w:r>
        <w:rPr>
          <w:rFonts w:hint="eastAsia" w:ascii="宋体" w:hAnsi="宋体"/>
          <w:bCs/>
        </w:rPr>
        <w:t>32.3.2采用综合评分法的采购项目，提供相同品牌产品且通过资格审查、符合性审查的不同投标人参加同一合同项下投标的，按一家投标人计算，评审后得分最高的同品牌投标人获得中标人推荐资格；评审得分相同的，由采购人或者采购人委托</w:t>
      </w:r>
      <w:r>
        <w:rPr>
          <w:rFonts w:hint="eastAsia" w:ascii="宋体" w:hAnsi="宋体"/>
          <w:bCs/>
          <w:szCs w:val="21"/>
        </w:rPr>
        <w:t>评审委员会</w:t>
      </w:r>
      <w:r>
        <w:rPr>
          <w:rFonts w:hint="eastAsia" w:ascii="宋体" w:hAnsi="宋体"/>
          <w:bCs/>
        </w:rPr>
        <w:t>按照招标文件规定的方式确定一个投标人获得中标人推荐资格，招标文件未规定的采取随机抽取方式确定，其他同品牌投标人不作为中标候选人。</w:t>
      </w:r>
    </w:p>
    <w:p>
      <w:pPr>
        <w:ind w:firstLine="411" w:firstLineChars="196"/>
        <w:rPr>
          <w:rFonts w:ascii="宋体" w:hAnsi="宋体"/>
          <w:bCs/>
        </w:rPr>
      </w:pPr>
      <w:r>
        <w:rPr>
          <w:rFonts w:hint="eastAsia" w:ascii="宋体" w:hAnsi="宋体"/>
          <w:bCs/>
        </w:rPr>
        <w:t>32.3.3非单一产品采购项目，采购人应当根据采购项目技术构成、产品价格比重等合理确定核心产品，并在招标文件中载明。多家投标人提供的核心产品品牌相同的，按前两款规定处理。</w:t>
      </w:r>
    </w:p>
    <w:p>
      <w:pPr>
        <w:ind w:firstLine="411" w:firstLineChars="196"/>
        <w:rPr>
          <w:rFonts w:ascii="宋体" w:hAnsi="宋体"/>
        </w:rPr>
      </w:pPr>
      <w:r>
        <w:rPr>
          <w:rFonts w:hint="eastAsia" w:ascii="宋体" w:hAnsi="宋体"/>
        </w:rPr>
        <w:t>32.4投标人投标文件作无效处理的情形，具体包括但不限于以下：</w:t>
      </w:r>
    </w:p>
    <w:p>
      <w:pPr>
        <w:ind w:firstLine="411" w:firstLineChars="196"/>
      </w:pPr>
      <w:r>
        <w:rPr>
          <w:rFonts w:hint="eastAsia" w:ascii="宋体" w:hAnsi="宋体"/>
        </w:rPr>
        <w:t>32.4.1</w:t>
      </w:r>
      <w:r>
        <w:rPr>
          <w:rFonts w:hint="eastAsia"/>
        </w:rPr>
        <w:t>不同投标人的投标文件由同一单位或者同一个人编制，或者由同一个人分阶段参与编制；</w:t>
      </w:r>
    </w:p>
    <w:p>
      <w:pPr>
        <w:ind w:firstLine="411" w:firstLineChars="196"/>
      </w:pPr>
      <w:r>
        <w:rPr>
          <w:rFonts w:ascii="宋体" w:hAnsi="宋体"/>
        </w:rPr>
        <w:t>32.4.</w:t>
      </w:r>
      <w:r>
        <w:rPr>
          <w:rFonts w:hint="eastAsia" w:ascii="宋体" w:hAnsi="宋体"/>
        </w:rPr>
        <w:t>2</w:t>
      </w:r>
      <w:r>
        <w:rPr>
          <w:rFonts w:hint="eastAsia"/>
        </w:rPr>
        <w:t>不同投标人委托同一单位或者个人办理投标事宜；</w:t>
      </w:r>
    </w:p>
    <w:p>
      <w:pPr>
        <w:ind w:firstLine="411" w:firstLineChars="196"/>
        <w:rPr>
          <w:rFonts w:ascii="宋体" w:hAnsi="宋体"/>
        </w:rPr>
      </w:pPr>
      <w:r>
        <w:rPr>
          <w:rFonts w:hint="eastAsia" w:ascii="宋体" w:hAnsi="宋体"/>
        </w:rPr>
        <w:t>32.4.3不同投标人的投标文件载明的项目管理成员或者联系人员为同一人；</w:t>
      </w:r>
    </w:p>
    <w:p>
      <w:pPr>
        <w:ind w:firstLine="411" w:firstLineChars="196"/>
        <w:rPr>
          <w:rFonts w:ascii="宋体" w:hAnsi="宋体"/>
        </w:rPr>
      </w:pPr>
      <w:r>
        <w:rPr>
          <w:rFonts w:hint="eastAsia" w:ascii="宋体" w:hAnsi="宋体"/>
        </w:rPr>
        <w:t>32.4.4不同投标人的投标文件异常一致或者投标报价呈规律性差异；</w:t>
      </w:r>
    </w:p>
    <w:p>
      <w:pPr>
        <w:ind w:firstLine="411" w:firstLineChars="196"/>
        <w:rPr>
          <w:rFonts w:ascii="宋体" w:hAnsi="宋体"/>
        </w:rPr>
      </w:pPr>
      <w:r>
        <w:rPr>
          <w:rFonts w:hint="eastAsia" w:ascii="宋体" w:hAnsi="宋体"/>
        </w:rPr>
        <w:t>32.4.5</w:t>
      </w:r>
      <w:r>
        <w:rPr>
          <w:rFonts w:ascii="宋体" w:hAnsi="宋体"/>
        </w:rPr>
        <w:t>不同投标供应商的投标文件或部分投标文件相互混装</w:t>
      </w:r>
      <w:r>
        <w:rPr>
          <w:rFonts w:hint="eastAsia" w:ascii="宋体" w:hAnsi="宋体"/>
        </w:rPr>
        <w:t>；</w:t>
      </w:r>
    </w:p>
    <w:p>
      <w:pPr>
        <w:ind w:firstLine="411" w:firstLineChars="196"/>
        <w:rPr>
          <w:rFonts w:ascii="宋体" w:hAnsi="宋体"/>
        </w:rPr>
      </w:pPr>
      <w:r>
        <w:rPr>
          <w:rFonts w:hint="eastAsia" w:ascii="宋体" w:hAnsi="宋体"/>
        </w:rPr>
        <w:t>32.4.6投标供应商之间相互约定给予未中标的供应商利益补偿；</w:t>
      </w:r>
    </w:p>
    <w:p>
      <w:pPr>
        <w:ind w:firstLine="411" w:firstLineChars="196"/>
        <w:rPr>
          <w:rFonts w:ascii="宋体" w:hAnsi="宋体"/>
        </w:rPr>
      </w:pPr>
      <w:r>
        <w:rPr>
          <w:rFonts w:hint="eastAsia" w:ascii="宋体" w:hAnsi="宋体"/>
        </w:rPr>
        <w:t>32.4.7不同投标供应商的法定代表人、主要经营负责人、项目投标授权代表人、项目负责人、主要技术人员为同一人、属同一单位或者同一单位缴纳社会保险；</w:t>
      </w:r>
    </w:p>
    <w:p>
      <w:pPr>
        <w:ind w:firstLine="411" w:firstLineChars="196"/>
        <w:rPr>
          <w:rFonts w:ascii="宋体" w:hAnsi="宋体"/>
        </w:rPr>
      </w:pPr>
      <w:r>
        <w:rPr>
          <w:rFonts w:hint="eastAsia" w:ascii="宋体" w:hAnsi="宋体"/>
        </w:rPr>
        <w:t>32.4.8不同投标供应商的投标文件内容存在非正常一致；</w:t>
      </w:r>
    </w:p>
    <w:p>
      <w:pPr>
        <w:ind w:firstLine="411" w:firstLineChars="196"/>
        <w:rPr>
          <w:rFonts w:ascii="宋体" w:hAnsi="宋体"/>
        </w:rPr>
      </w:pPr>
      <w:r>
        <w:rPr>
          <w:rFonts w:hint="eastAsia" w:ascii="宋体" w:hAnsi="宋体"/>
        </w:rPr>
        <w:t>32.4.9在同一单位工作人员为两家以上（含两家）供应商进行同一项投标活动；</w:t>
      </w:r>
    </w:p>
    <w:p>
      <w:pPr>
        <w:ind w:firstLine="411" w:firstLineChars="196"/>
        <w:rPr>
          <w:rFonts w:ascii="宋体" w:hAnsi="宋体"/>
        </w:rPr>
      </w:pPr>
      <w:r>
        <w:rPr>
          <w:rFonts w:hint="eastAsia" w:ascii="宋体" w:hAnsi="宋体"/>
        </w:rPr>
        <w:t>32.4.10主管部门依照法律、法规认定的其他情形。</w:t>
      </w:r>
    </w:p>
    <w:p>
      <w:pPr>
        <w:rPr>
          <w:rFonts w:ascii="宋体" w:hAnsi="宋体"/>
        </w:rPr>
      </w:pPr>
      <w:r>
        <w:rPr>
          <w:rFonts w:hint="eastAsia" w:ascii="宋体" w:hAnsi="宋体"/>
        </w:rPr>
        <w:t>32.5对不属于《资格性审查表》和《符合性审查表》所列的其他情形，除专用条款另有规定和32.4条款所列情形外，不得作为投标无效的理由。</w:t>
      </w:r>
    </w:p>
    <w:p>
      <w:pPr>
        <w:rPr>
          <w:rFonts w:ascii="黑体" w:hAnsi="宋体" w:eastAsia="黑体"/>
          <w:sz w:val="24"/>
        </w:rPr>
      </w:pPr>
      <w:r>
        <w:rPr>
          <w:rFonts w:hint="eastAsia" w:ascii="黑体" w:hAnsi="宋体" w:eastAsia="黑体"/>
          <w:sz w:val="24"/>
        </w:rPr>
        <w:t>33．澄清有关问题</w:t>
      </w:r>
    </w:p>
    <w:p>
      <w:pPr>
        <w:ind w:firstLine="411" w:firstLineChars="196"/>
        <w:rPr>
          <w:rFonts w:ascii="宋体" w:hAnsi="宋体"/>
        </w:rPr>
      </w:pPr>
      <w:bookmarkStart w:id="42" w:name="_Hlk71407321"/>
      <w:r>
        <w:rPr>
          <w:rFonts w:hint="eastAsia" w:ascii="宋体" w:hAnsi="宋体"/>
        </w:rPr>
        <w:t>3</w:t>
      </w:r>
      <w:r>
        <w:rPr>
          <w:rFonts w:ascii="宋体" w:hAnsi="宋体"/>
        </w:rPr>
        <w:t>3.1</w:t>
      </w:r>
      <w:r>
        <w:rPr>
          <w:rFonts w:hint="eastAsia" w:ascii="宋体" w:hAnsi="宋体"/>
        </w:rPr>
        <w:t>对招标文件中描述有歧义或前后不一致的地方（不含</w:t>
      </w:r>
      <w:r>
        <w:rPr>
          <w:szCs w:val="21"/>
        </w:rPr>
        <w:t>招标文件存在歧义、重大缺陷导致评</w:t>
      </w:r>
      <w:r>
        <w:rPr>
          <w:rFonts w:hint="eastAsia"/>
          <w:szCs w:val="21"/>
        </w:rPr>
        <w:t>审</w:t>
      </w:r>
      <w:r>
        <w:rPr>
          <w:szCs w:val="21"/>
        </w:rPr>
        <w:t>工作无法进行</w:t>
      </w:r>
      <w:r>
        <w:rPr>
          <w:rFonts w:hint="eastAsia"/>
          <w:szCs w:val="21"/>
        </w:rPr>
        <w:t>的情况）</w:t>
      </w:r>
      <w:r>
        <w:rPr>
          <w:rFonts w:hint="eastAsia" w:ascii="宋体" w:hAnsi="宋体"/>
        </w:rPr>
        <w:t>，评审委员会有权进行评判，但对同一条款的评判应适用于每个投标人。</w:t>
      </w:r>
      <w:bookmarkEnd w:id="42"/>
    </w:p>
    <w:p>
      <w:pPr>
        <w:ind w:firstLine="411" w:firstLineChars="196"/>
        <w:rPr>
          <w:rFonts w:ascii="宋体" w:hAnsi="宋体"/>
        </w:rPr>
      </w:pPr>
      <w:r>
        <w:rPr>
          <w:rFonts w:hint="eastAsia" w:ascii="宋体" w:hAnsi="宋体"/>
        </w:rPr>
        <w:t>3</w:t>
      </w:r>
      <w:r>
        <w:rPr>
          <w:rFonts w:ascii="宋体" w:hAnsi="宋体"/>
        </w:rPr>
        <w:t>3.2</w:t>
      </w:r>
      <w:r>
        <w:rPr>
          <w:szCs w:val="21"/>
        </w:rPr>
        <w:t>评</w:t>
      </w:r>
      <w:r>
        <w:rPr>
          <w:rFonts w:hint="eastAsia"/>
          <w:szCs w:val="21"/>
        </w:rPr>
        <w:t>审</w:t>
      </w:r>
      <w:r>
        <w:rPr>
          <w:szCs w:val="21"/>
        </w:rPr>
        <w:t>委员会发现招标文件存在歧义、重大缺陷导致评</w:t>
      </w:r>
      <w:r>
        <w:rPr>
          <w:rFonts w:hint="eastAsia"/>
          <w:szCs w:val="21"/>
        </w:rPr>
        <w:t>审</w:t>
      </w:r>
      <w:r>
        <w:rPr>
          <w:szCs w:val="21"/>
        </w:rPr>
        <w:t>工作无法进行，或者招标文件内容违反国家有关强制性规定的，应当停止评</w:t>
      </w:r>
      <w:r>
        <w:rPr>
          <w:rFonts w:hint="eastAsia"/>
          <w:szCs w:val="21"/>
        </w:rPr>
        <w:t>审</w:t>
      </w:r>
      <w:r>
        <w:rPr>
          <w:szCs w:val="21"/>
        </w:rPr>
        <w:t>工作，与</w:t>
      </w:r>
      <w:r>
        <w:rPr>
          <w:rFonts w:hint="eastAsia"/>
          <w:szCs w:val="21"/>
        </w:rPr>
        <w:t>政府集中采购机构</w:t>
      </w:r>
      <w:r>
        <w:rPr>
          <w:szCs w:val="21"/>
        </w:rPr>
        <w:t>沟通并作书面记录。</w:t>
      </w:r>
      <w:r>
        <w:rPr>
          <w:rFonts w:hint="eastAsia"/>
          <w:szCs w:val="21"/>
        </w:rPr>
        <w:t>经</w:t>
      </w:r>
      <w:r>
        <w:rPr>
          <w:szCs w:val="21"/>
        </w:rPr>
        <w:t>确认后，</w:t>
      </w:r>
      <w:r>
        <w:rPr>
          <w:rFonts w:hint="eastAsia"/>
          <w:szCs w:val="21"/>
        </w:rPr>
        <w:t>项目</w:t>
      </w:r>
      <w:r>
        <w:rPr>
          <w:szCs w:val="21"/>
        </w:rPr>
        <w:t>应当修改招标文件，重新组织采购活动。</w:t>
      </w:r>
    </w:p>
    <w:p>
      <w:pPr>
        <w:ind w:firstLine="411" w:firstLineChars="196"/>
        <w:rPr>
          <w:rFonts w:ascii="宋体" w:hAnsi="宋体"/>
        </w:rPr>
      </w:pPr>
      <w:r>
        <w:rPr>
          <w:rFonts w:ascii="宋体" w:hAnsi="宋体"/>
        </w:rPr>
        <w:t>33.3</w:t>
      </w:r>
      <w:r>
        <w:rPr>
          <w:rFonts w:hint="eastAsia" w:ascii="宋体" w:hAnsi="宋体"/>
        </w:rPr>
        <w:t>对于投标文件中含义不明确、同类问题表述不一致或者有明显文字和计算错误的内容，评审委员会应当以书面形式要求投标人作出必要的澄清、说明或者补正。</w:t>
      </w:r>
    </w:p>
    <w:p>
      <w:pPr>
        <w:ind w:firstLine="411" w:firstLineChars="196"/>
        <w:rPr>
          <w:rFonts w:ascii="宋体" w:hAnsi="宋体"/>
        </w:rPr>
      </w:pPr>
      <w:r>
        <w:rPr>
          <w:rFonts w:hint="eastAsia" w:ascii="宋体" w:hAnsi="宋体"/>
        </w:rPr>
        <w:t>投标人的澄清、说明或者补正应当采用书面形式【书面形式是指文书、信件（含电子邮件）、电报、电传、传真等形式】，并加盖公章（或者由法定代表人或其授权的代表签字）。投标人的澄清、说明或者补正不得超出投标文件的范围或者改变投标文件的实质性内容。</w:t>
      </w:r>
    </w:p>
    <w:p>
      <w:pPr>
        <w:ind w:firstLine="411" w:firstLineChars="196"/>
        <w:rPr>
          <w:rFonts w:ascii="宋体" w:hAnsi="宋体"/>
          <w:szCs w:val="21"/>
        </w:rPr>
      </w:pPr>
      <w:r>
        <w:rPr>
          <w:rFonts w:hint="eastAsia" w:ascii="宋体" w:hAnsi="宋体"/>
          <w:szCs w:val="21"/>
        </w:rPr>
        <w:t>根据本通用条款第34条，凡属于评审委员会在评审中发现的算术错误进行核实的修改不在此列。</w:t>
      </w:r>
    </w:p>
    <w:p>
      <w:pPr>
        <w:rPr>
          <w:rFonts w:ascii="黑体" w:hAnsi="宋体" w:eastAsia="黑体"/>
          <w:sz w:val="24"/>
        </w:rPr>
      </w:pPr>
      <w:bookmarkStart w:id="43" w:name="_Toc73517673"/>
      <w:bookmarkStart w:id="44" w:name="_Toc100052400"/>
      <w:bookmarkStart w:id="45" w:name="_Toc73521581"/>
      <w:bookmarkStart w:id="46" w:name="_Toc73521669"/>
      <w:bookmarkStart w:id="47" w:name="_Toc73518151"/>
      <w:r>
        <w:rPr>
          <w:rFonts w:hint="eastAsia" w:ascii="黑体" w:hAnsi="宋体" w:eastAsia="黑体"/>
          <w:sz w:val="24"/>
        </w:rPr>
        <w:t>34．错误的修正</w:t>
      </w:r>
      <w:bookmarkEnd w:id="43"/>
      <w:bookmarkEnd w:id="44"/>
      <w:bookmarkEnd w:id="45"/>
      <w:bookmarkEnd w:id="46"/>
      <w:bookmarkEnd w:id="47"/>
    </w:p>
    <w:p>
      <w:pPr>
        <w:ind w:firstLine="411" w:firstLineChars="196"/>
        <w:rPr>
          <w:rFonts w:ascii="宋体" w:hAnsi="宋体"/>
          <w:szCs w:val="21"/>
        </w:rPr>
      </w:pPr>
      <w:r>
        <w:rPr>
          <w:rFonts w:hint="eastAsia" w:ascii="宋体" w:hAnsi="宋体"/>
          <w:szCs w:val="21"/>
        </w:rPr>
        <w:t>投标文件报价出现前后不一致的，除专用条款另有规定外，按照下列规定修正：</w:t>
      </w:r>
    </w:p>
    <w:p>
      <w:pPr>
        <w:ind w:firstLine="411" w:firstLineChars="196"/>
        <w:rPr>
          <w:rFonts w:ascii="宋体" w:hAnsi="宋体"/>
          <w:szCs w:val="21"/>
        </w:rPr>
      </w:pPr>
      <w:r>
        <w:rPr>
          <w:rFonts w:hint="eastAsia" w:ascii="宋体" w:hAnsi="宋体"/>
          <w:szCs w:val="21"/>
        </w:rPr>
        <w:t>34.1投标文件中开标一览表投标报价内容与投标文件中投标报价相应内容不一致的，以开标一览表为准；</w:t>
      </w:r>
    </w:p>
    <w:p>
      <w:pPr>
        <w:ind w:firstLine="411" w:firstLineChars="196"/>
        <w:rPr>
          <w:rFonts w:ascii="宋体" w:hAnsi="宋体"/>
          <w:szCs w:val="21"/>
        </w:rPr>
      </w:pPr>
      <w:r>
        <w:rPr>
          <w:rFonts w:hint="eastAsia" w:ascii="宋体" w:hAnsi="宋体"/>
          <w:szCs w:val="21"/>
        </w:rPr>
        <w:t>34.2大写金额和小写金额不一致的，以大写金额为准；</w:t>
      </w:r>
    </w:p>
    <w:p>
      <w:pPr>
        <w:ind w:firstLine="411" w:firstLineChars="196"/>
        <w:rPr>
          <w:rFonts w:ascii="宋体" w:hAnsi="宋体"/>
          <w:szCs w:val="21"/>
        </w:rPr>
      </w:pPr>
      <w:r>
        <w:rPr>
          <w:rFonts w:hint="eastAsia" w:ascii="宋体" w:hAnsi="宋体"/>
          <w:szCs w:val="21"/>
        </w:rPr>
        <w:t>34.3单价金额小数点或者百分比有明显错位，以开标一览表的总价为准，并修改单价；</w:t>
      </w:r>
    </w:p>
    <w:p>
      <w:pPr>
        <w:ind w:firstLine="411" w:firstLineChars="196"/>
        <w:rPr>
          <w:rFonts w:ascii="宋体" w:hAnsi="宋体"/>
          <w:szCs w:val="21"/>
        </w:rPr>
      </w:pPr>
      <w:r>
        <w:rPr>
          <w:rFonts w:hint="eastAsia" w:ascii="宋体" w:hAnsi="宋体"/>
          <w:szCs w:val="21"/>
        </w:rPr>
        <w:t>34.4总价金额与按单价汇总金额不一致的，以单价金额计算结果为准。</w:t>
      </w:r>
    </w:p>
    <w:p>
      <w:pPr>
        <w:ind w:firstLine="411" w:firstLineChars="196"/>
        <w:rPr>
          <w:rFonts w:ascii="宋体" w:hAnsi="宋体"/>
          <w:szCs w:val="21"/>
        </w:rPr>
      </w:pPr>
      <w:r>
        <w:rPr>
          <w:rFonts w:hint="eastAsia" w:ascii="宋体" w:hAnsi="宋体"/>
          <w:szCs w:val="21"/>
        </w:rPr>
        <w:t>34.5同时出现两种以上不一致的，按照前款规定的顺序修正。修正后的报价按照本通用条款33条的规定，经投标人确认后产生约束力，投标人不确认的，其投标无效。</w:t>
      </w:r>
    </w:p>
    <w:p>
      <w:pPr>
        <w:rPr>
          <w:rFonts w:ascii="黑体" w:hAnsi="宋体" w:eastAsia="黑体"/>
          <w:sz w:val="24"/>
        </w:rPr>
      </w:pPr>
      <w:r>
        <w:rPr>
          <w:rFonts w:hint="eastAsia" w:ascii="黑体" w:hAnsi="宋体" w:eastAsia="黑体"/>
          <w:sz w:val="24"/>
        </w:rPr>
        <w:t>35．投标文件的比较与评价</w:t>
      </w:r>
    </w:p>
    <w:p>
      <w:pPr>
        <w:ind w:firstLine="411" w:firstLineChars="196"/>
        <w:rPr>
          <w:rFonts w:ascii="宋体" w:hAnsi="宋体"/>
          <w:szCs w:val="21"/>
        </w:rPr>
      </w:pPr>
      <w:r>
        <w:rPr>
          <w:rFonts w:hint="eastAsia" w:ascii="宋体" w:hAnsi="宋体"/>
          <w:szCs w:val="21"/>
        </w:rPr>
        <w:t>评审委员会将按照《深圳经济特区政府采购条例》、《深圳经济特区政府采购条例实施细则》、《深圳市政府采购评标定标分离管理办法》及政府采购其他法律法规，仅对通过资格性审查和符合性审查的投标文件进行综合比较与评价。</w:t>
      </w:r>
    </w:p>
    <w:p>
      <w:pPr>
        <w:ind w:firstLine="411" w:firstLineChars="196"/>
        <w:rPr>
          <w:rFonts w:ascii="宋体" w:hAnsi="宋体"/>
          <w:szCs w:val="21"/>
        </w:rPr>
      </w:pPr>
      <w:r>
        <w:rPr>
          <w:rFonts w:hint="eastAsia" w:ascii="宋体" w:hAnsi="宋体"/>
          <w:szCs w:val="21"/>
        </w:rPr>
        <w:t>评审委员会成员对需要共同认定的事项存在争议的，应当按照少数服从多数的原则作出结论。持不同意见的评审委员会成员应当书面作出说明，否则视为无异议。</w:t>
      </w:r>
    </w:p>
    <w:p>
      <w:pPr>
        <w:rPr>
          <w:rFonts w:ascii="黑体" w:hAnsi="宋体" w:eastAsia="黑体"/>
          <w:sz w:val="24"/>
        </w:rPr>
      </w:pPr>
      <w:r>
        <w:rPr>
          <w:rFonts w:hint="eastAsia" w:ascii="黑体" w:hAnsi="宋体" w:eastAsia="黑体"/>
          <w:sz w:val="24"/>
        </w:rPr>
        <w:t>36. 实地考察或资料查验</w:t>
      </w:r>
    </w:p>
    <w:p>
      <w:pPr>
        <w:ind w:firstLine="411" w:firstLineChars="196"/>
        <w:rPr>
          <w:rFonts w:ascii="宋体" w:hAnsi="宋体"/>
          <w:szCs w:val="21"/>
        </w:rPr>
      </w:pPr>
      <w:r>
        <w:rPr>
          <w:rFonts w:hint="eastAsia" w:ascii="宋体" w:hAnsi="宋体"/>
          <w:szCs w:val="21"/>
        </w:rPr>
        <w:t>36.1在评审过程中，评审委员会有权决定是否对本项目投标人进行实地考察或资料查验（原件）。投标人应随时做好接受实地考察或资料查验的准备。</w:t>
      </w:r>
    </w:p>
    <w:p>
      <w:pPr>
        <w:rPr>
          <w:rFonts w:ascii="黑体" w:hAnsi="宋体" w:eastAsia="黑体"/>
          <w:sz w:val="24"/>
        </w:rPr>
      </w:pPr>
      <w:r>
        <w:rPr>
          <w:rFonts w:hint="eastAsia" w:ascii="黑体" w:hAnsi="宋体" w:eastAsia="黑体"/>
          <w:sz w:val="24"/>
        </w:rPr>
        <w:t>37．评审方法</w:t>
      </w:r>
    </w:p>
    <w:p>
      <w:pPr>
        <w:ind w:firstLine="413" w:firstLineChars="196"/>
        <w:rPr>
          <w:rFonts w:ascii="宋体" w:hAnsi="宋体"/>
          <w:b/>
          <w:bCs/>
          <w:szCs w:val="21"/>
        </w:rPr>
      </w:pPr>
      <w:r>
        <w:rPr>
          <w:rFonts w:hint="eastAsia" w:ascii="宋体" w:hAnsi="宋体"/>
          <w:b/>
          <w:bCs/>
          <w:szCs w:val="21"/>
        </w:rPr>
        <w:t>37.1.1最低价法</w:t>
      </w:r>
    </w:p>
    <w:p>
      <w:pPr>
        <w:ind w:firstLine="411" w:firstLineChars="196"/>
        <w:rPr>
          <w:rFonts w:ascii="ˎ̥" w:hAnsi="ˎ̥"/>
        </w:rPr>
      </w:pPr>
      <w:bookmarkStart w:id="48" w:name="_Hlk72438142"/>
      <w:r>
        <w:rPr>
          <w:rFonts w:ascii="ˎ̥" w:hAnsi="ˎ̥"/>
        </w:rPr>
        <w:t>最低价法，是指</w:t>
      </w:r>
      <w:r>
        <w:rPr>
          <w:rFonts w:hint="eastAsia" w:ascii="ˎ̥" w:hAnsi="ˎ̥"/>
        </w:rPr>
        <w:t>完全</w:t>
      </w:r>
      <w:r>
        <w:rPr>
          <w:rFonts w:ascii="ˎ̥" w:hAnsi="ˎ̥"/>
        </w:rPr>
        <w:t>满足招标文件实质性要求，</w:t>
      </w:r>
      <w:r>
        <w:rPr>
          <w:rFonts w:hint="eastAsia" w:ascii="ˎ̥" w:hAnsi="ˎ̥"/>
        </w:rPr>
        <w:t>按照报价由低到高的顺序，依据招标文件中规定的数量或者比例推荐候选中标供应商。</w:t>
      </w:r>
    </w:p>
    <w:p>
      <w:pPr>
        <w:ind w:firstLine="413" w:firstLineChars="196"/>
        <w:rPr>
          <w:rFonts w:ascii="宋体" w:hAnsi="宋体"/>
          <w:b/>
          <w:bCs/>
          <w:szCs w:val="21"/>
        </w:rPr>
      </w:pPr>
      <w:r>
        <w:rPr>
          <w:rFonts w:hint="eastAsia" w:ascii="宋体" w:hAnsi="宋体"/>
          <w:b/>
          <w:bCs/>
          <w:szCs w:val="21"/>
        </w:rPr>
        <w:t>37.1.2综合评分法</w:t>
      </w:r>
    </w:p>
    <w:p>
      <w:pPr>
        <w:ind w:firstLine="411" w:firstLineChars="196"/>
        <w:rPr>
          <w:rFonts w:ascii="ˎ̥" w:hAnsi="ˎ̥"/>
        </w:rPr>
      </w:pPr>
      <w:r>
        <w:rPr>
          <w:rFonts w:ascii="ˎ̥" w:hAnsi="ˎ̥"/>
        </w:rPr>
        <w:t>综合评分法，是指</w:t>
      </w:r>
      <w:r>
        <w:rPr>
          <w:rFonts w:hint="eastAsia" w:ascii="ˎ̥" w:hAnsi="ˎ̥"/>
        </w:rPr>
        <w:t>在</w:t>
      </w:r>
      <w:r>
        <w:rPr>
          <w:rFonts w:ascii="ˎ̥" w:hAnsi="ˎ̥"/>
        </w:rPr>
        <w:t>满足招标文件全部实质性要求</w:t>
      </w:r>
      <w:r>
        <w:rPr>
          <w:rFonts w:hint="eastAsia" w:ascii="ˎ̥" w:hAnsi="ˎ̥"/>
        </w:rPr>
        <w:t>的前提下</w:t>
      </w:r>
      <w:r>
        <w:rPr>
          <w:rFonts w:ascii="ˎ̥" w:hAnsi="ˎ̥"/>
        </w:rPr>
        <w:t>，</w:t>
      </w:r>
      <w:r>
        <w:rPr>
          <w:rFonts w:hint="eastAsia" w:ascii="ˎ̥" w:hAnsi="ˎ̥"/>
        </w:rPr>
        <w:t>按照招标文件中规定的各项因素进行综合评审，评审总得分排名前列的投标人，作为推荐的候选中标供应商。</w:t>
      </w:r>
      <w:bookmarkEnd w:id="48"/>
    </w:p>
    <w:p>
      <w:pPr>
        <w:ind w:firstLine="413" w:firstLineChars="196"/>
        <w:rPr>
          <w:rFonts w:ascii="宋体" w:hAnsi="宋体"/>
          <w:b/>
          <w:bCs/>
          <w:szCs w:val="21"/>
        </w:rPr>
      </w:pPr>
      <w:r>
        <w:rPr>
          <w:rFonts w:hint="eastAsia" w:ascii="宋体" w:hAnsi="宋体"/>
          <w:b/>
          <w:bCs/>
          <w:szCs w:val="21"/>
        </w:rPr>
        <w:t>37.2 本项目采用的评审方法见本项目招标文件第一册“专用条款”的相关内容。</w:t>
      </w:r>
    </w:p>
    <w:p>
      <w:pPr>
        <w:ind w:firstLine="413" w:firstLineChars="196"/>
        <w:rPr>
          <w:rFonts w:ascii="宋体" w:hAnsi="宋体"/>
          <w:b/>
          <w:bCs/>
          <w:szCs w:val="21"/>
        </w:rPr>
      </w:pPr>
      <w:r>
        <w:rPr>
          <w:rFonts w:hint="eastAsia" w:ascii="宋体" w:hAnsi="宋体"/>
          <w:b/>
          <w:bCs/>
          <w:szCs w:val="21"/>
        </w:rPr>
        <w:t>37.3重新评审的情形</w:t>
      </w:r>
    </w:p>
    <w:p>
      <w:pPr>
        <w:ind w:firstLine="411" w:firstLineChars="196"/>
        <w:rPr>
          <w:rFonts w:ascii="宋体" w:hAnsi="宋体"/>
          <w:b/>
          <w:bCs/>
          <w:szCs w:val="21"/>
        </w:rPr>
      </w:pPr>
      <w:r>
        <w:rPr>
          <w:rFonts w:hint="eastAsia" w:ascii="宋体" w:hAnsi="宋体" w:cs="宋体"/>
          <w:kern w:val="0"/>
          <w:szCs w:val="21"/>
        </w:rPr>
        <w:t>评审结果汇总完成后，除下列情形外，任何人不得修改评审结果：</w:t>
      </w:r>
    </w:p>
    <w:p>
      <w:pPr>
        <w:ind w:firstLine="411" w:firstLineChars="196"/>
        <w:rPr>
          <w:rFonts w:ascii="宋体" w:hAnsi="宋体" w:cs="宋体"/>
          <w:kern w:val="0"/>
          <w:szCs w:val="21"/>
        </w:rPr>
      </w:pPr>
      <w:r>
        <w:rPr>
          <w:rFonts w:hint="eastAsia" w:ascii="宋体" w:hAnsi="宋体" w:cs="宋体"/>
          <w:kern w:val="0"/>
          <w:szCs w:val="21"/>
        </w:rPr>
        <w:t>37.3.1分值汇总计算错误的；</w:t>
      </w:r>
    </w:p>
    <w:p>
      <w:pPr>
        <w:ind w:firstLine="411" w:firstLineChars="196"/>
        <w:rPr>
          <w:rFonts w:ascii="宋体" w:hAnsi="宋体" w:cs="宋体"/>
          <w:kern w:val="0"/>
          <w:szCs w:val="21"/>
        </w:rPr>
      </w:pPr>
      <w:r>
        <w:rPr>
          <w:rFonts w:hint="eastAsia" w:ascii="宋体" w:hAnsi="宋体" w:cs="宋体"/>
          <w:kern w:val="0"/>
          <w:szCs w:val="21"/>
        </w:rPr>
        <w:t>37.3.2分项评分超出评分标准范围的；</w:t>
      </w:r>
    </w:p>
    <w:p>
      <w:pPr>
        <w:ind w:firstLine="411" w:firstLineChars="196"/>
        <w:rPr>
          <w:rFonts w:ascii="宋体" w:hAnsi="宋体" w:cs="宋体"/>
          <w:kern w:val="0"/>
          <w:szCs w:val="21"/>
        </w:rPr>
      </w:pPr>
      <w:r>
        <w:rPr>
          <w:rFonts w:hint="eastAsia" w:ascii="宋体" w:hAnsi="宋体" w:cs="宋体"/>
          <w:kern w:val="0"/>
          <w:szCs w:val="21"/>
        </w:rPr>
        <w:t>37.3.3评审委员会成员对客观评审因素评分不一致的；</w:t>
      </w:r>
    </w:p>
    <w:p>
      <w:pPr>
        <w:ind w:firstLine="411" w:firstLineChars="196"/>
        <w:rPr>
          <w:rFonts w:ascii="宋体" w:hAnsi="宋体" w:cs="宋体"/>
          <w:kern w:val="0"/>
          <w:szCs w:val="21"/>
        </w:rPr>
      </w:pPr>
      <w:r>
        <w:rPr>
          <w:rFonts w:hint="eastAsia" w:ascii="宋体" w:hAnsi="宋体" w:cs="宋体"/>
          <w:kern w:val="0"/>
          <w:szCs w:val="21"/>
        </w:rPr>
        <w:t>37.3.4经评审委员会认定评分畸高、畸低的。</w:t>
      </w:r>
    </w:p>
    <w:p>
      <w:pPr>
        <w:ind w:firstLine="411" w:firstLineChars="196"/>
        <w:rPr>
          <w:rFonts w:ascii="宋体" w:hAnsi="宋体" w:cs="宋体"/>
          <w:kern w:val="0"/>
          <w:szCs w:val="21"/>
        </w:rPr>
      </w:pPr>
      <w:r>
        <w:rPr>
          <w:rFonts w:hint="eastAsia" w:ascii="宋体" w:hAnsi="宋体" w:cs="宋体"/>
          <w:kern w:val="0"/>
          <w:szCs w:val="21"/>
        </w:rPr>
        <w:t>评审报告签署前，经复核发现存在以上情形之一的，评审委员会应当当场修改评审结果，并进行书面记载；评审报告签署后，采购人或者采购代理机构发现存在以上情形之一的，应当组织原评审委员会进行重新评审，重新评审改变评审结果的，书面报告本级财政部门。</w:t>
      </w:r>
    </w:p>
    <w:p>
      <w:pPr>
        <w:ind w:firstLine="411" w:firstLineChars="196"/>
        <w:rPr>
          <w:rFonts w:ascii="宋体" w:hAnsi="宋体" w:cs="宋体"/>
          <w:kern w:val="0"/>
          <w:szCs w:val="21"/>
        </w:rPr>
      </w:pPr>
      <w:r>
        <w:rPr>
          <w:rFonts w:hint="eastAsia" w:ascii="宋体" w:hAnsi="宋体" w:cs="宋体"/>
          <w:kern w:val="0"/>
          <w:szCs w:val="21"/>
        </w:rPr>
        <w:t>投标人对本条第一款情形提出质疑的，采购人或者采购代理机构可以组织原评审委员会进行重新评审，重新评审改变评审结果的，应当书面报告本级财政部门。</w:t>
      </w:r>
    </w:p>
    <w:p>
      <w:pPr>
        <w:ind w:firstLine="413" w:firstLineChars="196"/>
        <w:rPr>
          <w:rFonts w:ascii="宋体" w:hAnsi="宋体"/>
          <w:b/>
          <w:bCs/>
          <w:szCs w:val="21"/>
        </w:rPr>
      </w:pPr>
      <w:r>
        <w:rPr>
          <w:rFonts w:hint="eastAsia" w:ascii="宋体" w:hAnsi="宋体"/>
          <w:b/>
          <w:bCs/>
          <w:szCs w:val="21"/>
        </w:rPr>
        <w:t xml:space="preserve"> 37.4重新组建评审委员会的情形</w:t>
      </w:r>
    </w:p>
    <w:p>
      <w:pPr>
        <w:ind w:firstLine="411" w:firstLineChars="196"/>
        <w:rPr>
          <w:rFonts w:ascii="宋体" w:hAnsi="宋体" w:cs="宋体"/>
          <w:kern w:val="0"/>
          <w:szCs w:val="21"/>
        </w:rPr>
      </w:pPr>
      <w:r>
        <w:rPr>
          <w:rFonts w:hint="eastAsia" w:ascii="宋体" w:hAnsi="宋体" w:cs="宋体"/>
          <w:kern w:val="0"/>
          <w:szCs w:val="21"/>
        </w:rPr>
        <w:t>评审委员会或者其成员存在下列情形导致评审结果无效的，重新组建评审委员会进行评标，并书面报告本级财政部门：</w:t>
      </w:r>
    </w:p>
    <w:p>
      <w:pPr>
        <w:ind w:firstLine="411" w:firstLineChars="196"/>
        <w:rPr>
          <w:rFonts w:ascii="宋体" w:hAnsi="宋体" w:cs="宋体"/>
          <w:kern w:val="0"/>
          <w:szCs w:val="21"/>
        </w:rPr>
      </w:pPr>
      <w:r>
        <w:rPr>
          <w:rFonts w:hint="eastAsia" w:ascii="宋体" w:hAnsi="宋体" w:cs="宋体"/>
          <w:kern w:val="0"/>
          <w:szCs w:val="21"/>
        </w:rPr>
        <w:t>37.4.1评审委员会组成不符合《政府采购货物和服务招标投标管理办法》规定的；</w:t>
      </w:r>
    </w:p>
    <w:p>
      <w:pPr>
        <w:ind w:firstLine="411" w:firstLineChars="196"/>
        <w:rPr>
          <w:rFonts w:ascii="宋体" w:hAnsi="宋体" w:cs="宋体"/>
          <w:kern w:val="0"/>
          <w:szCs w:val="21"/>
        </w:rPr>
      </w:pPr>
      <w:r>
        <w:rPr>
          <w:rFonts w:hint="eastAsia" w:ascii="宋体" w:hAnsi="宋体" w:cs="宋体"/>
          <w:kern w:val="0"/>
          <w:szCs w:val="21"/>
        </w:rPr>
        <w:t>37.4.2有《政府采购货物和服务招标投标管理办法》第六十二条第一至五项情形的；</w:t>
      </w:r>
    </w:p>
    <w:p>
      <w:pPr>
        <w:ind w:firstLine="411" w:firstLineChars="196"/>
        <w:rPr>
          <w:rFonts w:ascii="宋体" w:hAnsi="宋体" w:cs="宋体"/>
          <w:kern w:val="0"/>
          <w:szCs w:val="21"/>
        </w:rPr>
      </w:pPr>
      <w:r>
        <w:rPr>
          <w:rFonts w:hint="eastAsia" w:ascii="宋体" w:hAnsi="宋体" w:cs="宋体"/>
          <w:kern w:val="0"/>
          <w:szCs w:val="21"/>
        </w:rPr>
        <w:t>37.4.3评审委员会及其成员独立评标受到非法干预的；</w:t>
      </w:r>
    </w:p>
    <w:p>
      <w:pPr>
        <w:ind w:firstLine="411" w:firstLineChars="196"/>
        <w:rPr>
          <w:rFonts w:ascii="宋体" w:hAnsi="宋体" w:cs="宋体"/>
          <w:kern w:val="0"/>
          <w:szCs w:val="21"/>
        </w:rPr>
      </w:pPr>
      <w:r>
        <w:rPr>
          <w:rFonts w:hint="eastAsia" w:ascii="宋体" w:hAnsi="宋体" w:cs="宋体"/>
          <w:kern w:val="0"/>
          <w:szCs w:val="21"/>
        </w:rPr>
        <w:t>37.4.4有政府采购法实施条例第七十五条规定的违法行为的。</w:t>
      </w:r>
    </w:p>
    <w:p>
      <w:pPr>
        <w:ind w:firstLine="411" w:firstLineChars="196"/>
        <w:rPr>
          <w:rFonts w:ascii="宋体" w:hAnsi="宋体" w:cs="宋体"/>
          <w:kern w:val="0"/>
          <w:szCs w:val="21"/>
        </w:rPr>
      </w:pPr>
      <w:r>
        <w:rPr>
          <w:rFonts w:hint="eastAsia" w:ascii="宋体" w:hAnsi="宋体" w:cs="宋体"/>
          <w:kern w:val="0"/>
          <w:szCs w:val="21"/>
        </w:rPr>
        <w:t>有违法违规行为的原评审委员会成员不得参加重新组建的评审委员会。</w:t>
      </w:r>
    </w:p>
    <w:p>
      <w:pPr>
        <w:ind w:firstLine="411" w:firstLineChars="196"/>
        <w:rPr>
          <w:rFonts w:ascii="宋体" w:hAnsi="宋体"/>
          <w:szCs w:val="21"/>
        </w:rPr>
      </w:pPr>
    </w:p>
    <w:p>
      <w:pPr>
        <w:pStyle w:val="3"/>
        <w:numPr>
          <w:ilvl w:val="0"/>
          <w:numId w:val="4"/>
        </w:numPr>
        <w:spacing w:beforeLines="50" w:afterLines="50"/>
        <w:ind w:left="562" w:hanging="562"/>
        <w:rPr>
          <w:sz w:val="28"/>
          <w:szCs w:val="28"/>
        </w:rPr>
      </w:pPr>
      <w:r>
        <w:rPr>
          <w:rFonts w:hint="eastAsia"/>
          <w:sz w:val="28"/>
          <w:szCs w:val="28"/>
        </w:rPr>
        <w:t>定标及公示</w:t>
      </w:r>
    </w:p>
    <w:p>
      <w:pPr>
        <w:rPr>
          <w:rFonts w:ascii="黑体" w:hAnsi="宋体" w:eastAsia="黑体"/>
          <w:sz w:val="24"/>
        </w:rPr>
      </w:pPr>
      <w:r>
        <w:rPr>
          <w:rFonts w:hint="eastAsia" w:ascii="黑体" w:hAnsi="宋体" w:eastAsia="黑体"/>
          <w:sz w:val="24"/>
        </w:rPr>
        <w:t>38．定标方法</w:t>
      </w:r>
    </w:p>
    <w:p>
      <w:pPr>
        <w:ind w:firstLine="411" w:firstLineChars="196"/>
        <w:rPr>
          <w:rFonts w:ascii="宋体" w:hAnsi="宋体"/>
          <w:szCs w:val="21"/>
        </w:rPr>
      </w:pPr>
      <w:bookmarkStart w:id="49" w:name="_Hlk73782795"/>
      <w:r>
        <w:rPr>
          <w:rFonts w:hint="eastAsia" w:ascii="宋体" w:hAnsi="宋体"/>
          <w:szCs w:val="21"/>
        </w:rPr>
        <w:t>38.1非评定分离项目定标方法</w:t>
      </w:r>
    </w:p>
    <w:p>
      <w:pPr>
        <w:ind w:firstLine="411" w:firstLineChars="196"/>
        <w:rPr>
          <w:rFonts w:ascii="宋体" w:hAnsi="宋体"/>
          <w:szCs w:val="21"/>
        </w:rPr>
      </w:pPr>
      <w:r>
        <w:rPr>
          <w:rFonts w:hint="eastAsia" w:ascii="宋体" w:hAnsi="宋体"/>
          <w:szCs w:val="21"/>
        </w:rPr>
        <w:t>38</w:t>
      </w:r>
      <w:r>
        <w:rPr>
          <w:rFonts w:ascii="宋体" w:hAnsi="宋体"/>
          <w:szCs w:val="21"/>
        </w:rPr>
        <w:t>.</w:t>
      </w:r>
      <w:r>
        <w:rPr>
          <w:rFonts w:hint="eastAsia" w:ascii="宋体" w:hAnsi="宋体"/>
          <w:szCs w:val="21"/>
        </w:rPr>
        <w:t>1.1评审委员会依据本项目招标文件所约定的评审方法进行评审和比较，向政府集中采购机构提交书面评审报告，并根据评审方法比较评价结果从优到劣进行排序，确定候选中标供应商。</w:t>
      </w:r>
    </w:p>
    <w:p>
      <w:pPr>
        <w:ind w:firstLine="411" w:firstLineChars="196"/>
        <w:rPr>
          <w:rFonts w:ascii="ˎ̥" w:hAnsi="ˎ̥"/>
        </w:rPr>
      </w:pPr>
      <w:r>
        <w:rPr>
          <w:rFonts w:hint="eastAsia" w:ascii="宋体" w:hAnsi="宋体"/>
          <w:szCs w:val="21"/>
        </w:rPr>
        <w:t>38</w:t>
      </w:r>
      <w:r>
        <w:rPr>
          <w:rFonts w:ascii="宋体" w:hAnsi="宋体"/>
          <w:szCs w:val="21"/>
        </w:rPr>
        <w:t>.</w:t>
      </w:r>
      <w:r>
        <w:rPr>
          <w:rFonts w:hint="eastAsia" w:ascii="宋体" w:hAnsi="宋体"/>
          <w:szCs w:val="21"/>
        </w:rPr>
        <w:t>1.2</w:t>
      </w:r>
      <w:r>
        <w:rPr>
          <w:rFonts w:ascii="ˎ̥" w:hAnsi="ˎ̥"/>
        </w:rPr>
        <w:t>采用最低价法的，评</w:t>
      </w:r>
      <w:r>
        <w:rPr>
          <w:rFonts w:hint="eastAsia" w:ascii="ˎ̥" w:hAnsi="ˎ̥"/>
        </w:rPr>
        <w:t>审</w:t>
      </w:r>
      <w:r>
        <w:rPr>
          <w:rFonts w:ascii="ˎ̥" w:hAnsi="ˎ̥"/>
        </w:rPr>
        <w:t>结果按投标报价由低到高顺序排列。投标报价相同的并列。投标文件满足招标文件全部实质性要求且投标报价最低的</w:t>
      </w:r>
      <w:r>
        <w:rPr>
          <w:rFonts w:hint="eastAsia" w:ascii="ˎ̥" w:hAnsi="ˎ̥"/>
        </w:rPr>
        <w:t>投标人为</w:t>
      </w:r>
      <w:bookmarkStart w:id="50" w:name="_Hlk73821177"/>
      <w:r>
        <w:rPr>
          <w:rFonts w:hint="eastAsia" w:ascii="ˎ̥" w:hAnsi="ˎ̥"/>
        </w:rPr>
        <w:t>唯一候选中标供应商</w:t>
      </w:r>
      <w:bookmarkEnd w:id="50"/>
      <w:r>
        <w:rPr>
          <w:rFonts w:ascii="ˎ̥" w:hAnsi="ˎ̥"/>
        </w:rPr>
        <w:t>。</w:t>
      </w:r>
    </w:p>
    <w:p>
      <w:pPr>
        <w:ind w:firstLine="411" w:firstLineChars="196"/>
        <w:rPr>
          <w:rFonts w:ascii="ˎ̥" w:hAnsi="ˎ̥"/>
        </w:rPr>
      </w:pPr>
      <w:r>
        <w:rPr>
          <w:rFonts w:hint="eastAsia" w:ascii="宋体" w:hAnsi="宋体"/>
          <w:szCs w:val="21"/>
        </w:rPr>
        <w:t>38</w:t>
      </w:r>
      <w:r>
        <w:rPr>
          <w:rFonts w:ascii="宋体" w:hAnsi="宋体"/>
          <w:szCs w:val="21"/>
        </w:rPr>
        <w:t>.</w:t>
      </w:r>
      <w:r>
        <w:rPr>
          <w:rFonts w:hint="eastAsia" w:ascii="宋体" w:hAnsi="宋体"/>
          <w:szCs w:val="21"/>
        </w:rPr>
        <w:t>1.3</w:t>
      </w:r>
      <w:r>
        <w:rPr>
          <w:rFonts w:ascii="宋体" w:hAnsi="宋体"/>
          <w:szCs w:val="21"/>
        </w:rPr>
        <w:t>采</w:t>
      </w:r>
      <w:r>
        <w:rPr>
          <w:rFonts w:ascii="ˎ̥" w:hAnsi="ˎ̥"/>
        </w:rPr>
        <w:t>用综合评分法的，评标结果按评审后得分由高到低顺序排列。得分相同的，按投标报价由低到高顺序排列。得分且投标报价相同的并列。投标文件满足招标文件全部实质性要求，且按照评审因素的量化指标评审得分最高的投标人</w:t>
      </w:r>
      <w:r>
        <w:rPr>
          <w:rFonts w:hint="eastAsia" w:ascii="ˎ̥" w:hAnsi="ˎ̥"/>
        </w:rPr>
        <w:t>为唯一候选中标供应商</w:t>
      </w:r>
      <w:r>
        <w:rPr>
          <w:rFonts w:ascii="ˎ̥" w:hAnsi="ˎ̥"/>
        </w:rPr>
        <w:t>。</w:t>
      </w:r>
      <w:r>
        <w:rPr>
          <w:rFonts w:hint="eastAsia" w:ascii="ˎ̥" w:hAnsi="ˎ̥"/>
        </w:rPr>
        <w:t>出现</w:t>
      </w:r>
      <w:r>
        <w:rPr>
          <w:rFonts w:ascii="ˎ̥" w:hAnsi="ˎ̥"/>
        </w:rPr>
        <w:t>得分且投标报价相同的并列</w:t>
      </w:r>
      <w:r>
        <w:rPr>
          <w:rFonts w:hint="eastAsia" w:ascii="ˎ̥" w:hAnsi="ˎ̥"/>
        </w:rPr>
        <w:t>情况时，采取随机抽取的方式确定，具体操作办法及流程由评审委员会确定（如“专用条款”中另有规定的以“专用条款”相关规定内容为准）。如唯一候选中标供应商被认定投标或中标无效，采购人应当重新开展采购活动。</w:t>
      </w:r>
    </w:p>
    <w:p>
      <w:pPr>
        <w:ind w:firstLine="411" w:firstLineChars="196"/>
        <w:rPr>
          <w:rFonts w:ascii="宋体" w:hAnsi="宋体"/>
          <w:szCs w:val="21"/>
        </w:rPr>
      </w:pPr>
      <w:r>
        <w:rPr>
          <w:rFonts w:hint="eastAsia" w:ascii="宋体" w:hAnsi="宋体"/>
          <w:szCs w:val="21"/>
        </w:rPr>
        <w:t>38.2评定分离项目定标方法</w:t>
      </w:r>
    </w:p>
    <w:p>
      <w:pPr>
        <w:ind w:firstLine="411" w:firstLineChars="196"/>
        <w:rPr>
          <w:rFonts w:ascii="宋体" w:hAnsi="宋体"/>
          <w:szCs w:val="21"/>
        </w:rPr>
      </w:pPr>
      <w:r>
        <w:rPr>
          <w:rFonts w:hint="eastAsia" w:ascii="宋体" w:hAnsi="宋体"/>
          <w:szCs w:val="21"/>
        </w:rPr>
        <w:t>38.2.1评定分离是指在政府集中采购程序中，以公开招标方式执行采购，评审委员会负责对投标文件进行评审、推荐候选中标供应商并出具书面评审报告，由采购人根据评审委员会出具的评审报告从推荐的候选中标供应商中确定中标供应商。单个项目需要确定多家中标供应商的，不适用评定分离。</w:t>
      </w:r>
    </w:p>
    <w:p>
      <w:pPr>
        <w:ind w:firstLine="411" w:firstLineChars="196"/>
      </w:pPr>
      <w:r>
        <w:rPr>
          <w:rFonts w:ascii="宋体" w:hAnsi="宋体"/>
          <w:szCs w:val="21"/>
        </w:rPr>
        <w:t xml:space="preserve">38.2.2 </w:t>
      </w:r>
      <w:bookmarkStart w:id="51" w:name="_Hlk71469733"/>
      <w:r>
        <w:t>适用评定分离的政府采购项目，采用综合评分法评</w:t>
      </w:r>
      <w:r>
        <w:rPr>
          <w:rFonts w:hint="eastAsia"/>
        </w:rPr>
        <w:t>审。</w:t>
      </w:r>
      <w:r>
        <w:rPr>
          <w:rFonts w:hint="eastAsia" w:ascii="宋体" w:hAnsi="宋体"/>
          <w:szCs w:val="21"/>
        </w:rPr>
        <w:t>评审委员会按照评审结果，推荐</w:t>
      </w:r>
      <w:r>
        <w:t>三个合格的候选中标供应商。</w:t>
      </w:r>
    </w:p>
    <w:p>
      <w:pPr>
        <w:ind w:firstLine="411" w:firstLineChars="196"/>
        <w:rPr>
          <w:rFonts w:ascii="宋体" w:hAnsi="宋体"/>
          <w:szCs w:val="21"/>
        </w:rPr>
      </w:pPr>
      <w:r>
        <w:rPr>
          <w:rFonts w:hint="eastAsia" w:ascii="宋体" w:hAnsi="宋体"/>
          <w:szCs w:val="21"/>
        </w:rPr>
        <w:t>38.2.3</w:t>
      </w:r>
      <w:bookmarkStart w:id="52" w:name="_Hlk71469688"/>
      <w:r>
        <w:t>适用评定分离的政府采购项目，</w:t>
      </w:r>
      <w:r>
        <w:rPr>
          <w:rFonts w:hint="eastAsia" w:ascii="宋体" w:hAnsi="宋体"/>
          <w:szCs w:val="21"/>
        </w:rPr>
        <w:t>按照自定法确定中标供应商：自定法是指采购人组织定标委员会，由定标委员会在三家候选中标供应商中确定中标供应商。</w:t>
      </w:r>
      <w:bookmarkEnd w:id="51"/>
      <w:bookmarkEnd w:id="52"/>
    </w:p>
    <w:p>
      <w:pPr>
        <w:ind w:firstLine="411" w:firstLineChars="196"/>
        <w:rPr>
          <w:rFonts w:ascii="宋体" w:hAnsi="宋体"/>
          <w:szCs w:val="21"/>
        </w:rPr>
      </w:pPr>
      <w:r>
        <w:rPr>
          <w:rFonts w:ascii="宋体" w:hAnsi="宋体"/>
          <w:szCs w:val="21"/>
        </w:rPr>
        <w:t>38.2.4</w:t>
      </w:r>
      <w:r>
        <w:rPr>
          <w:rFonts w:hint="eastAsia" w:ascii="宋体" w:hAnsi="宋体"/>
          <w:szCs w:val="21"/>
        </w:rPr>
        <w:t>政府集中采购机构</w:t>
      </w:r>
      <w:r>
        <w:t>应当自评审结束之日起两个工作日内将候选中标供应商名单及其投标文件、评审报告送交采购人</w:t>
      </w:r>
      <w:r>
        <w:rPr>
          <w:rFonts w:hint="eastAsia" w:ascii="宋体" w:hAnsi="宋体"/>
          <w:szCs w:val="21"/>
        </w:rPr>
        <w:t>。</w:t>
      </w:r>
      <w:r>
        <w:t>采购人应当安排专人对定标过程进行书面记录，形成定标报告，作为采购文件的组成部分存档，并及时将定标结果反馈</w:t>
      </w:r>
      <w:r>
        <w:rPr>
          <w:rFonts w:hint="eastAsia"/>
        </w:rPr>
        <w:t>政府集中采购机构。具体定标程序及相关要求以按照《</w:t>
      </w:r>
      <w:r>
        <w:t>深圳市财政局关于印发</w:t>
      </w:r>
      <w:r>
        <w:rPr>
          <w:rFonts w:hint="eastAsia" w:ascii="宋体" w:hAnsi="宋体"/>
        </w:rPr>
        <w:t>〈</w:t>
      </w:r>
      <w:r>
        <w:t>深圳市政府采购评标定标分离管理办法</w:t>
      </w:r>
      <w:r>
        <w:rPr>
          <w:rFonts w:hint="eastAsia" w:ascii="宋体" w:hAnsi="宋体"/>
        </w:rPr>
        <w:t>〉</w:t>
      </w:r>
      <w:r>
        <w:t>的通知</w:t>
      </w:r>
      <w:r>
        <w:rPr>
          <w:rFonts w:hint="eastAsia"/>
        </w:rPr>
        <w:t>》（深财规【2</w:t>
      </w:r>
      <w:r>
        <w:t>020</w:t>
      </w:r>
      <w:r>
        <w:rPr>
          <w:rFonts w:hint="eastAsia"/>
        </w:rPr>
        <w:t>】1号）执行。</w:t>
      </w:r>
    </w:p>
    <w:p>
      <w:pPr>
        <w:ind w:firstLine="411" w:firstLineChars="196"/>
        <w:rPr>
          <w:rFonts w:ascii="宋体" w:hAnsi="宋体"/>
          <w:szCs w:val="21"/>
        </w:rPr>
      </w:pPr>
      <w:r>
        <w:rPr>
          <w:rFonts w:hint="eastAsia" w:ascii="宋体" w:hAnsi="宋体"/>
          <w:szCs w:val="21"/>
        </w:rPr>
        <w:t>说明：采购人及投标供应商应按照上述方法提前做好相关准备。</w:t>
      </w:r>
    </w:p>
    <w:p>
      <w:pPr>
        <w:ind w:firstLine="411" w:firstLineChars="196"/>
        <w:rPr>
          <w:rFonts w:ascii="宋体" w:hAnsi="宋体"/>
          <w:szCs w:val="21"/>
        </w:rPr>
      </w:pPr>
      <w:r>
        <w:rPr>
          <w:rFonts w:hint="eastAsia" w:ascii="宋体" w:hAnsi="宋体"/>
          <w:szCs w:val="21"/>
        </w:rPr>
        <w:t>38.3专用条款另有规定的，按专用条款相关要求定标。</w:t>
      </w:r>
      <w:bookmarkEnd w:id="49"/>
    </w:p>
    <w:p>
      <w:pPr>
        <w:rPr>
          <w:rFonts w:ascii="黑体" w:hAnsi="宋体" w:eastAsia="黑体"/>
          <w:sz w:val="24"/>
        </w:rPr>
      </w:pPr>
      <w:r>
        <w:rPr>
          <w:rFonts w:hint="eastAsia" w:ascii="黑体" w:hAnsi="宋体" w:eastAsia="黑体"/>
          <w:sz w:val="24"/>
        </w:rPr>
        <w:t>39．编写评审报告</w:t>
      </w:r>
    </w:p>
    <w:p>
      <w:pPr>
        <w:ind w:firstLine="411" w:firstLineChars="196"/>
        <w:rPr>
          <w:rFonts w:ascii="宋体" w:hAnsi="宋体"/>
          <w:szCs w:val="21"/>
        </w:rPr>
      </w:pPr>
      <w:r>
        <w:rPr>
          <w:rFonts w:hint="eastAsia" w:ascii="宋体" w:hAnsi="宋体"/>
          <w:szCs w:val="21"/>
        </w:rPr>
        <w:t>评审报告是评审委员会根据全体评标成员签字的原始评审记录和评审结果编写的报告，评审报告由评审委员会全体成员签字。对评审结论持有异议的评审委员会成员可以书面方式阐述其不同意见和理由。评审委员会成员拒绝在评审报告上签字且不陈述其不同意见和理由的，视为同意评审结论。评审委员会应当对此作出书面说明并记录存档。</w:t>
      </w:r>
    </w:p>
    <w:p>
      <w:pPr>
        <w:rPr>
          <w:rFonts w:ascii="黑体" w:hAnsi="宋体" w:eastAsia="黑体"/>
          <w:sz w:val="24"/>
        </w:rPr>
      </w:pPr>
      <w:r>
        <w:rPr>
          <w:rFonts w:hint="eastAsia" w:ascii="黑体" w:hAnsi="宋体" w:eastAsia="黑体"/>
          <w:sz w:val="24"/>
        </w:rPr>
        <w:t>40．中标公告</w:t>
      </w:r>
    </w:p>
    <w:p>
      <w:pPr>
        <w:ind w:firstLine="411" w:firstLineChars="196"/>
        <w:rPr>
          <w:rFonts w:ascii="宋体" w:hAnsi="宋体"/>
          <w:szCs w:val="21"/>
        </w:rPr>
      </w:pPr>
      <w:r>
        <w:rPr>
          <w:rFonts w:hint="eastAsia" w:ascii="宋体" w:hAnsi="宋体"/>
          <w:szCs w:val="21"/>
        </w:rPr>
        <w:t>40.1</w:t>
      </w:r>
      <w:bookmarkStart w:id="53" w:name="_Hlk72438709"/>
      <w:r>
        <w:rPr>
          <w:rFonts w:hint="eastAsia" w:ascii="宋体" w:hAnsi="宋体"/>
          <w:szCs w:val="21"/>
        </w:rPr>
        <w:t>为体现“公开、公平、公正”的原则，评审结束后经采购人确认（确定）评审结果，政府集中采购机构将在</w:t>
      </w:r>
      <w:r>
        <w:rPr>
          <w:rFonts w:hint="eastAsia" w:ascii="宋体" w:hAnsi="宋体"/>
          <w:b/>
          <w:bCs/>
          <w:szCs w:val="21"/>
        </w:rPr>
        <w:t>深圳公共资源交易网（https://szggzy.com/）</w:t>
      </w:r>
      <w:r>
        <w:rPr>
          <w:rFonts w:hint="eastAsia" w:ascii="宋体" w:hAnsi="宋体"/>
          <w:szCs w:val="21"/>
        </w:rPr>
        <w:t>上发布中标结果公告。</w:t>
      </w:r>
      <w:bookmarkEnd w:id="53"/>
      <w:bookmarkStart w:id="54" w:name="_Hlk72438751"/>
      <w:r>
        <w:rPr>
          <w:rFonts w:hint="eastAsia" w:ascii="宋体" w:hAnsi="宋体"/>
          <w:szCs w:val="21"/>
        </w:rPr>
        <w:t>供应商如对评审结果有异议，</w:t>
      </w:r>
      <w:r>
        <w:rPr>
          <w:rFonts w:ascii="宋体" w:hAnsi="宋体"/>
          <w:szCs w:val="21"/>
        </w:rPr>
        <w:t>可在发布公示日期起</w:t>
      </w:r>
      <w:r>
        <w:rPr>
          <w:rFonts w:hint="eastAsia" w:ascii="宋体" w:hAnsi="宋体"/>
          <w:szCs w:val="21"/>
        </w:rPr>
        <w:t>七</w:t>
      </w:r>
      <w:r>
        <w:rPr>
          <w:rFonts w:ascii="宋体" w:hAnsi="宋体"/>
          <w:szCs w:val="21"/>
        </w:rPr>
        <w:t>个工作日内向</w:t>
      </w:r>
      <w:r>
        <w:rPr>
          <w:rFonts w:hint="eastAsia" w:ascii="宋体" w:hAnsi="宋体"/>
          <w:szCs w:val="21"/>
        </w:rPr>
        <w:t>政府集中采购机构</w:t>
      </w:r>
      <w:r>
        <w:rPr>
          <w:rFonts w:ascii="宋体" w:hAnsi="宋体"/>
          <w:szCs w:val="21"/>
        </w:rPr>
        <w:t>提出。 监督电话：0755-83948143。</w:t>
      </w:r>
      <w:r>
        <w:rPr>
          <w:rFonts w:hint="eastAsia" w:ascii="宋体" w:hAnsi="宋体"/>
          <w:szCs w:val="21"/>
        </w:rPr>
        <w:t>若在公示期内未提出质疑，则视为认同该评审结果。</w:t>
      </w:r>
    </w:p>
    <w:bookmarkEnd w:id="54"/>
    <w:p>
      <w:pPr>
        <w:ind w:firstLine="411" w:firstLineChars="196"/>
        <w:rPr>
          <w:rFonts w:ascii="宋体" w:hAnsi="宋体"/>
          <w:szCs w:val="21"/>
        </w:rPr>
      </w:pPr>
      <w:r>
        <w:rPr>
          <w:rFonts w:hint="eastAsia" w:ascii="宋体" w:hAnsi="宋体"/>
          <w:szCs w:val="21"/>
        </w:rPr>
        <w:t>40.2质疑、投诉供应商应保证质疑、投诉内容的真实性和可靠性，并承担相应的法律责任。</w:t>
      </w:r>
    </w:p>
    <w:p>
      <w:pPr>
        <w:rPr>
          <w:rFonts w:ascii="黑体" w:hAnsi="宋体" w:eastAsia="黑体"/>
          <w:sz w:val="24"/>
        </w:rPr>
      </w:pPr>
      <w:r>
        <w:rPr>
          <w:rFonts w:hint="eastAsia" w:ascii="黑体" w:hAnsi="宋体" w:eastAsia="黑体"/>
          <w:sz w:val="24"/>
        </w:rPr>
        <w:t>41．中标通知书</w:t>
      </w:r>
    </w:p>
    <w:p>
      <w:pPr>
        <w:ind w:firstLine="411" w:firstLineChars="196"/>
        <w:rPr>
          <w:rFonts w:ascii="宋体" w:hAnsi="宋体"/>
          <w:szCs w:val="21"/>
        </w:rPr>
      </w:pPr>
      <w:r>
        <w:rPr>
          <w:rFonts w:hint="eastAsia" w:ascii="宋体" w:hAnsi="宋体"/>
          <w:szCs w:val="21"/>
        </w:rPr>
        <w:t>41</w:t>
      </w:r>
      <w:r>
        <w:rPr>
          <w:rFonts w:ascii="宋体" w:hAnsi="宋体"/>
          <w:szCs w:val="21"/>
        </w:rPr>
        <w:t>.</w:t>
      </w:r>
      <w:r>
        <w:rPr>
          <w:rFonts w:hint="eastAsia" w:ascii="宋体" w:hAnsi="宋体"/>
          <w:szCs w:val="21"/>
        </w:rPr>
        <w:t>1</w:t>
      </w:r>
      <w:bookmarkStart w:id="55" w:name="_Hlk72438863"/>
      <w:r>
        <w:rPr>
          <w:rFonts w:hint="eastAsia" w:ascii="宋体" w:hAnsi="宋体"/>
          <w:szCs w:val="21"/>
        </w:rPr>
        <w:t>中标公告公布以后无异常的情况下,中标供应商和采购人可自行在</w:t>
      </w:r>
      <w:r>
        <w:rPr>
          <w:rFonts w:hint="eastAsia" w:ascii="宋体" w:hAnsi="宋体"/>
          <w:b/>
          <w:bCs/>
          <w:szCs w:val="21"/>
        </w:rPr>
        <w:t>“</w:t>
      </w:r>
      <w:r>
        <w:rPr>
          <w:rFonts w:hint="eastAsia" w:ascii="宋体" w:hAnsi="宋体"/>
        </w:rPr>
        <w:t>深圳市自行采购系统（https://trade.szggzy.com/ggzy/center/#/login）</w:t>
      </w:r>
      <w:r>
        <w:rPr>
          <w:rFonts w:hint="eastAsia" w:ascii="宋体" w:hAnsi="宋体"/>
          <w:b/>
          <w:bCs/>
          <w:szCs w:val="21"/>
        </w:rPr>
        <w:t>”</w:t>
      </w:r>
      <w:r>
        <w:rPr>
          <w:rFonts w:hint="eastAsia" w:ascii="宋体" w:hAnsi="宋体"/>
          <w:szCs w:val="21"/>
        </w:rPr>
        <w:t>上打印</w:t>
      </w:r>
      <w:r>
        <w:rPr>
          <w:rFonts w:hint="eastAsia" w:ascii="宋体" w:hAnsi="宋体"/>
          <w:b/>
          <w:szCs w:val="21"/>
        </w:rPr>
        <w:t>《数字中标通知书》</w:t>
      </w:r>
      <w:r>
        <w:rPr>
          <w:rFonts w:hint="eastAsia" w:ascii="宋体" w:hAnsi="宋体"/>
          <w:szCs w:val="21"/>
        </w:rPr>
        <w:t>。</w:t>
      </w:r>
      <w:bookmarkEnd w:id="55"/>
    </w:p>
    <w:p>
      <w:pPr>
        <w:ind w:firstLine="411" w:firstLineChars="196"/>
        <w:rPr>
          <w:rFonts w:ascii="宋体" w:hAnsi="宋体"/>
          <w:szCs w:val="21"/>
        </w:rPr>
      </w:pPr>
      <w:r>
        <w:rPr>
          <w:rFonts w:hint="eastAsia" w:ascii="宋体" w:hAnsi="宋体"/>
          <w:szCs w:val="21"/>
        </w:rPr>
        <w:t>41</w:t>
      </w:r>
      <w:r>
        <w:rPr>
          <w:rFonts w:ascii="宋体" w:hAnsi="宋体"/>
          <w:szCs w:val="21"/>
        </w:rPr>
        <w:t>.2</w:t>
      </w:r>
      <w:r>
        <w:rPr>
          <w:rFonts w:hint="eastAsia" w:ascii="宋体" w:hAnsi="宋体"/>
          <w:szCs w:val="21"/>
        </w:rPr>
        <w:t>中标通知书是合同的重要组成部分。</w:t>
      </w:r>
    </w:p>
    <w:p>
      <w:pPr>
        <w:ind w:firstLine="411" w:firstLineChars="196"/>
        <w:rPr>
          <w:rFonts w:ascii="宋体" w:hAnsi="宋体"/>
          <w:szCs w:val="21"/>
        </w:rPr>
      </w:pPr>
      <w:bookmarkStart w:id="56" w:name="_Hlk71407340"/>
      <w:r>
        <w:rPr>
          <w:rFonts w:hint="eastAsia" w:ascii="宋体" w:hAnsi="宋体"/>
          <w:szCs w:val="21"/>
        </w:rPr>
        <w:t>41.3因质疑投诉或其它原因导致项目结果变更或采购终止的，政府集中采购机构有权吊销中标通知书。</w:t>
      </w:r>
    </w:p>
    <w:bookmarkEnd w:id="56"/>
    <w:p>
      <w:pPr>
        <w:ind w:firstLine="411" w:firstLineChars="196"/>
        <w:rPr>
          <w:rFonts w:ascii="宋体" w:hAnsi="宋体"/>
          <w:szCs w:val="21"/>
        </w:rPr>
      </w:pPr>
    </w:p>
    <w:p>
      <w:pPr>
        <w:pStyle w:val="3"/>
        <w:numPr>
          <w:ilvl w:val="0"/>
          <w:numId w:val="4"/>
        </w:numPr>
        <w:spacing w:beforeLines="50" w:afterLines="50"/>
        <w:ind w:left="562" w:hanging="562"/>
        <w:rPr>
          <w:sz w:val="28"/>
          <w:szCs w:val="28"/>
        </w:rPr>
      </w:pPr>
      <w:r>
        <w:rPr>
          <w:rFonts w:hint="eastAsia"/>
          <w:sz w:val="28"/>
          <w:szCs w:val="28"/>
        </w:rPr>
        <w:t>公开招标失败的后续处理</w:t>
      </w:r>
    </w:p>
    <w:p>
      <w:pPr>
        <w:rPr>
          <w:rFonts w:ascii="黑体" w:hAnsi="宋体" w:eastAsia="黑体"/>
          <w:sz w:val="24"/>
        </w:rPr>
      </w:pPr>
      <w:r>
        <w:rPr>
          <w:rFonts w:hint="eastAsia" w:ascii="黑体" w:hAnsi="宋体" w:eastAsia="黑体"/>
          <w:sz w:val="24"/>
        </w:rPr>
        <w:t>42．公开招标失败的处理</w:t>
      </w:r>
    </w:p>
    <w:p>
      <w:pPr>
        <w:ind w:firstLine="411" w:firstLineChars="196"/>
        <w:rPr>
          <w:rFonts w:ascii="宋体" w:hAnsi="宋体"/>
        </w:rPr>
      </w:pPr>
      <w:r>
        <w:rPr>
          <w:rFonts w:hint="eastAsia" w:ascii="宋体" w:hAnsi="宋体"/>
          <w:szCs w:val="21"/>
        </w:rPr>
        <w:t>42.1本项目公开招标过程中若由于投标截止后</w:t>
      </w:r>
      <w:r>
        <w:rPr>
          <w:rFonts w:hint="eastAsia" w:ascii="宋体" w:hAnsi="宋体"/>
        </w:rPr>
        <w:t>实际递交</w:t>
      </w:r>
      <w:r>
        <w:rPr>
          <w:rFonts w:ascii="宋体" w:hAnsi="宋体"/>
        </w:rPr>
        <w:t>投标</w:t>
      </w:r>
      <w:r>
        <w:rPr>
          <w:rFonts w:hint="eastAsia" w:ascii="宋体" w:hAnsi="宋体"/>
        </w:rPr>
        <w:t>文件的供应商数量不足、经</w:t>
      </w:r>
      <w:r>
        <w:rPr>
          <w:rFonts w:hint="eastAsia" w:ascii="宋体" w:hAnsi="宋体"/>
          <w:szCs w:val="21"/>
        </w:rPr>
        <w:t>评审委员会</w:t>
      </w:r>
      <w:r>
        <w:rPr>
          <w:rFonts w:hint="eastAsia" w:ascii="宋体" w:hAnsi="宋体"/>
        </w:rPr>
        <w:t>评审对招标文件作实质响应的供应商不足等原因造成公开招标失败，可由</w:t>
      </w:r>
      <w:r>
        <w:rPr>
          <w:rFonts w:hint="eastAsia" w:ascii="宋体" w:hAnsi="宋体" w:cs="宋体"/>
        </w:rPr>
        <w:t>政府集中采购机构</w:t>
      </w:r>
      <w:r>
        <w:rPr>
          <w:rFonts w:hint="eastAsia" w:ascii="宋体" w:hAnsi="宋体"/>
        </w:rPr>
        <w:t>重新组织采购。</w:t>
      </w:r>
    </w:p>
    <w:p>
      <w:pPr>
        <w:ind w:firstLine="411" w:firstLineChars="196"/>
        <w:rPr>
          <w:rFonts w:ascii="宋体" w:hAnsi="宋体"/>
          <w:szCs w:val="21"/>
        </w:rPr>
      </w:pPr>
      <w:r>
        <w:rPr>
          <w:rFonts w:hint="eastAsia" w:ascii="宋体" w:hAnsi="宋体"/>
          <w:szCs w:val="21"/>
        </w:rPr>
        <w:t>42.2对公开招标失败的项目，评审委员会在出具该项目招标失败结论的同时，可以提出重新采购组织形式的建议，以及进一步完善招标文件的资格、技术、商务要求的修改建议。</w:t>
      </w:r>
    </w:p>
    <w:p>
      <w:pPr>
        <w:ind w:firstLine="411" w:firstLineChars="196"/>
        <w:rPr>
          <w:rFonts w:ascii="宋体" w:hAnsi="宋体"/>
          <w:szCs w:val="21"/>
        </w:rPr>
      </w:pPr>
      <w:r>
        <w:rPr>
          <w:rFonts w:hint="eastAsia" w:ascii="宋体" w:hAnsi="宋体"/>
          <w:szCs w:val="21"/>
        </w:rPr>
        <w:t>42.3重新组织采购有以下两种组织形式：</w:t>
      </w:r>
    </w:p>
    <w:p>
      <w:pPr>
        <w:ind w:firstLine="411" w:firstLineChars="196"/>
        <w:rPr>
          <w:rFonts w:ascii="宋体" w:hAnsi="宋体"/>
        </w:rPr>
      </w:pPr>
      <w:r>
        <w:rPr>
          <w:rFonts w:hint="eastAsia" w:ascii="宋体" w:hAnsi="宋体"/>
        </w:rPr>
        <w:t>（1）由政府集中采购机构重新组织公开招标；</w:t>
      </w:r>
    </w:p>
    <w:p>
      <w:pPr>
        <w:ind w:firstLine="411" w:firstLineChars="196"/>
        <w:rPr>
          <w:rFonts w:ascii="宋体" w:hAnsi="宋体"/>
        </w:rPr>
      </w:pPr>
      <w:r>
        <w:rPr>
          <w:rFonts w:hint="eastAsia" w:ascii="宋体" w:hAnsi="宋体"/>
        </w:rPr>
        <w:t>（2）根据实际情况需要向同级财政部门提出非公开招标方式申请，经同级财政部门批准，公开招标失败采购项目可转为竞争性谈判或单一来源谈判方式采购。</w:t>
      </w:r>
    </w:p>
    <w:p>
      <w:pPr>
        <w:ind w:firstLine="411" w:firstLineChars="196"/>
        <w:rPr>
          <w:rFonts w:ascii="宋体" w:hAnsi="宋体"/>
        </w:rPr>
      </w:pPr>
      <w:r>
        <w:rPr>
          <w:rFonts w:hint="eastAsia" w:ascii="宋体" w:hAnsi="宋体"/>
        </w:rPr>
        <w:t>42.4公开招标失败的采购项目重新组织公开招标，由政府集中采购机构重新按公开招标流程组织采购活动。</w:t>
      </w:r>
    </w:p>
    <w:p>
      <w:pPr>
        <w:rPr>
          <w:rFonts w:ascii="宋体" w:hAnsi="宋体"/>
        </w:rPr>
      </w:pPr>
      <w:r>
        <w:rPr>
          <w:rFonts w:hint="eastAsia" w:ascii="宋体" w:hAnsi="宋体"/>
        </w:rPr>
        <w:t>42.5公开招标失败的采购项目经同级财政部门批准转为竞争性谈判或单一来源谈判方式采购的，按规定要求组织政府采购工作。</w:t>
      </w:r>
    </w:p>
    <w:p>
      <w:pPr>
        <w:rPr>
          <w:rFonts w:ascii="黑体" w:hAnsi="宋体" w:eastAsia="黑体"/>
          <w:sz w:val="24"/>
        </w:rPr>
      </w:pPr>
    </w:p>
    <w:p>
      <w:pPr>
        <w:pStyle w:val="3"/>
        <w:numPr>
          <w:ilvl w:val="0"/>
          <w:numId w:val="4"/>
        </w:numPr>
        <w:spacing w:beforeLines="50" w:afterLines="50"/>
        <w:ind w:left="562" w:hanging="562"/>
        <w:rPr>
          <w:sz w:val="28"/>
          <w:szCs w:val="28"/>
        </w:rPr>
      </w:pPr>
      <w:bookmarkStart w:id="57" w:name="_Hlk72439043"/>
      <w:r>
        <w:rPr>
          <w:rFonts w:hint="eastAsia"/>
          <w:sz w:val="28"/>
          <w:szCs w:val="28"/>
        </w:rPr>
        <w:t>合同的授予与备案</w:t>
      </w:r>
      <w:bookmarkEnd w:id="57"/>
    </w:p>
    <w:p>
      <w:pPr>
        <w:rPr>
          <w:rFonts w:ascii="黑体" w:hAnsi="宋体" w:eastAsia="黑体"/>
          <w:sz w:val="24"/>
        </w:rPr>
      </w:pPr>
      <w:bookmarkStart w:id="58" w:name="_Toc73521586"/>
      <w:bookmarkStart w:id="59" w:name="_Toc73518157"/>
      <w:bookmarkStart w:id="60" w:name="_Toc73517679"/>
      <w:bookmarkStart w:id="61" w:name="_Toc73521674"/>
      <w:bookmarkStart w:id="62" w:name="_Toc100052408"/>
      <w:bookmarkStart w:id="63" w:name="_Hlk72439088"/>
      <w:r>
        <w:rPr>
          <w:rFonts w:hint="eastAsia" w:ascii="黑体" w:hAnsi="宋体" w:eastAsia="黑体"/>
          <w:sz w:val="24"/>
        </w:rPr>
        <w:t>43．合同授予标准</w:t>
      </w:r>
      <w:bookmarkEnd w:id="58"/>
      <w:bookmarkEnd w:id="59"/>
      <w:bookmarkEnd w:id="60"/>
      <w:bookmarkEnd w:id="61"/>
      <w:bookmarkEnd w:id="62"/>
    </w:p>
    <w:p>
      <w:pPr>
        <w:ind w:firstLine="411" w:firstLineChars="196"/>
        <w:rPr>
          <w:rFonts w:ascii="宋体" w:hAnsi="宋体"/>
          <w:szCs w:val="21"/>
        </w:rPr>
      </w:pPr>
      <w:r>
        <w:rPr>
          <w:rFonts w:hint="eastAsia" w:ascii="宋体" w:hAnsi="宋体"/>
          <w:szCs w:val="21"/>
        </w:rPr>
        <w:t>本项目的合同将授予经本招标文件规定评审确定的中标供应商。</w:t>
      </w:r>
    </w:p>
    <w:p>
      <w:pPr>
        <w:rPr>
          <w:rFonts w:ascii="黑体" w:hAnsi="宋体" w:eastAsia="黑体"/>
          <w:sz w:val="24"/>
        </w:rPr>
      </w:pPr>
      <w:bookmarkStart w:id="64" w:name="_Toc73521675"/>
      <w:bookmarkStart w:id="65" w:name="_Toc100052409"/>
      <w:bookmarkStart w:id="66" w:name="_Toc73517680"/>
      <w:bookmarkStart w:id="67" w:name="_Toc73521587"/>
      <w:bookmarkStart w:id="68" w:name="_Toc73518158"/>
      <w:r>
        <w:rPr>
          <w:rFonts w:hint="eastAsia" w:ascii="黑体" w:hAnsi="宋体" w:eastAsia="黑体"/>
          <w:sz w:val="24"/>
        </w:rPr>
        <w:t>44．</w:t>
      </w:r>
      <w:bookmarkEnd w:id="64"/>
      <w:bookmarkEnd w:id="65"/>
      <w:bookmarkEnd w:id="66"/>
      <w:bookmarkEnd w:id="67"/>
      <w:bookmarkEnd w:id="68"/>
      <w:r>
        <w:rPr>
          <w:rFonts w:hint="eastAsia" w:ascii="黑体" w:hAnsi="宋体" w:eastAsia="黑体"/>
          <w:sz w:val="24"/>
        </w:rPr>
        <w:t>接受和拒绝任何或所有投标的权力</w:t>
      </w:r>
    </w:p>
    <w:p>
      <w:pPr>
        <w:ind w:firstLine="411" w:firstLineChars="196"/>
        <w:rPr>
          <w:rFonts w:ascii="宋体" w:hAnsi="宋体"/>
          <w:szCs w:val="21"/>
        </w:rPr>
      </w:pPr>
      <w:r>
        <w:rPr>
          <w:rFonts w:hint="eastAsia" w:ascii="宋体" w:hAnsi="宋体"/>
          <w:szCs w:val="21"/>
        </w:rPr>
        <w:t>政府集中采购机构和采购人保留在投标之前任何时候接受或拒绝任何投标或所有投标，以及宣布招标无效的权力，对受影响的投标人不承担任何责任，也无义务向受影响的投标人解释采取这一行动的理由。</w:t>
      </w:r>
    </w:p>
    <w:p>
      <w:pPr>
        <w:rPr>
          <w:rFonts w:ascii="黑体" w:hAnsi="宋体" w:eastAsia="黑体"/>
          <w:sz w:val="24"/>
        </w:rPr>
      </w:pPr>
      <w:bookmarkStart w:id="69" w:name="_Toc73517682"/>
      <w:bookmarkStart w:id="70" w:name="_Toc100052410"/>
      <w:bookmarkStart w:id="71" w:name="_Toc73521677"/>
      <w:bookmarkStart w:id="72" w:name="_Toc73521589"/>
      <w:bookmarkStart w:id="73" w:name="_Toc73518160"/>
      <w:r>
        <w:rPr>
          <w:rFonts w:hint="eastAsia" w:ascii="黑体" w:hAnsi="宋体" w:eastAsia="黑体"/>
          <w:sz w:val="24"/>
        </w:rPr>
        <w:t>45．合同的签订</w:t>
      </w:r>
      <w:bookmarkEnd w:id="69"/>
      <w:bookmarkEnd w:id="70"/>
      <w:bookmarkEnd w:id="71"/>
      <w:bookmarkEnd w:id="72"/>
      <w:bookmarkEnd w:id="73"/>
    </w:p>
    <w:p>
      <w:pPr>
        <w:ind w:firstLine="411" w:firstLineChars="196"/>
        <w:rPr>
          <w:rFonts w:ascii="宋体" w:hAnsi="宋体"/>
          <w:szCs w:val="21"/>
        </w:rPr>
      </w:pPr>
      <w:r>
        <w:rPr>
          <w:rFonts w:hint="eastAsia" w:ascii="宋体" w:hAnsi="宋体"/>
          <w:szCs w:val="21"/>
        </w:rPr>
        <w:t>45.1中标人将于中标通知书发出之日起十个工作日内，按照采购文件（招标文件和投标文件等）内容与采购人签订政府采购合同；合同的实质性内容应当符合招标文件的规定；</w:t>
      </w:r>
    </w:p>
    <w:p>
      <w:pPr>
        <w:ind w:firstLine="411" w:firstLineChars="196"/>
        <w:rPr>
          <w:rFonts w:ascii="宋体" w:hAnsi="宋体"/>
          <w:szCs w:val="21"/>
        </w:rPr>
      </w:pPr>
      <w:r>
        <w:rPr>
          <w:rFonts w:hint="eastAsia" w:ascii="宋体" w:hAnsi="宋体"/>
          <w:szCs w:val="21"/>
        </w:rPr>
        <w:t>45.2中标人如不按本通用条款第45</w:t>
      </w:r>
      <w:r>
        <w:rPr>
          <w:rFonts w:ascii="宋体" w:hAnsi="宋体"/>
          <w:szCs w:val="21"/>
        </w:rPr>
        <w:t>.1</w:t>
      </w:r>
      <w:r>
        <w:rPr>
          <w:rFonts w:hint="eastAsia" w:ascii="宋体" w:hAnsi="宋体"/>
          <w:szCs w:val="21"/>
        </w:rPr>
        <w:t>款的规定与采购人签订合同，</w:t>
      </w:r>
      <w:r>
        <w:rPr>
          <w:rFonts w:ascii="宋体" w:hAnsi="宋体" w:cs="宋体"/>
          <w:kern w:val="0"/>
          <w:szCs w:val="21"/>
        </w:rPr>
        <w:t>情节严重的，由</w:t>
      </w:r>
      <w:r>
        <w:rPr>
          <w:rFonts w:hint="eastAsia" w:ascii="宋体" w:hAnsi="宋体" w:cs="宋体"/>
          <w:kern w:val="0"/>
          <w:szCs w:val="21"/>
        </w:rPr>
        <w:t>同级财政</w:t>
      </w:r>
      <w:r>
        <w:rPr>
          <w:rFonts w:ascii="宋体" w:hAnsi="宋体" w:cs="宋体"/>
          <w:kern w:val="0"/>
          <w:szCs w:val="21"/>
        </w:rPr>
        <w:t>部门记入供应商诚信档案，予以通报</w:t>
      </w:r>
      <w:r>
        <w:rPr>
          <w:rFonts w:hint="eastAsia" w:ascii="宋体" w:hAnsi="宋体"/>
          <w:szCs w:val="21"/>
        </w:rPr>
        <w:t>；</w:t>
      </w:r>
    </w:p>
    <w:p>
      <w:pPr>
        <w:ind w:firstLine="411" w:firstLineChars="196"/>
        <w:rPr>
          <w:rFonts w:ascii="宋体" w:hAnsi="宋体"/>
          <w:szCs w:val="21"/>
        </w:rPr>
      </w:pPr>
      <w:r>
        <w:rPr>
          <w:rFonts w:hint="eastAsia" w:ascii="宋体" w:hAnsi="宋体"/>
          <w:szCs w:val="21"/>
        </w:rPr>
        <w:t>45.3中标人应当按照合同约定履行义务，完成中标项目，不得将中标项目转让（转包）给他人。</w:t>
      </w:r>
    </w:p>
    <w:p>
      <w:pPr>
        <w:rPr>
          <w:rFonts w:ascii="黑体" w:hAnsi="宋体" w:eastAsia="黑体"/>
          <w:sz w:val="24"/>
        </w:rPr>
      </w:pPr>
      <w:bookmarkStart w:id="74" w:name="_Toc73521590"/>
      <w:bookmarkStart w:id="75" w:name="_Toc100052411"/>
      <w:bookmarkStart w:id="76" w:name="_Toc73518161"/>
      <w:bookmarkStart w:id="77" w:name="_Toc73521678"/>
      <w:bookmarkStart w:id="78" w:name="_Toc73517683"/>
      <w:r>
        <w:rPr>
          <w:rFonts w:hint="eastAsia" w:ascii="黑体" w:hAnsi="宋体" w:eastAsia="黑体"/>
          <w:sz w:val="24"/>
        </w:rPr>
        <w:t>46．履约担保</w:t>
      </w:r>
      <w:bookmarkEnd w:id="74"/>
      <w:bookmarkEnd w:id="75"/>
      <w:bookmarkEnd w:id="76"/>
      <w:bookmarkEnd w:id="77"/>
      <w:bookmarkEnd w:id="78"/>
    </w:p>
    <w:p>
      <w:pPr>
        <w:ind w:firstLine="411" w:firstLineChars="196"/>
        <w:rPr>
          <w:rFonts w:ascii="宋体" w:hAnsi="宋体"/>
          <w:szCs w:val="21"/>
        </w:rPr>
      </w:pPr>
      <w:r>
        <w:rPr>
          <w:rFonts w:hint="eastAsia" w:ascii="宋体" w:hAnsi="宋体"/>
          <w:szCs w:val="21"/>
        </w:rPr>
        <w:t>46.1在签订项目合同的同时，中标人应按“对通用条款的补充内容”中规定的金额向采购人提交履约担保；</w:t>
      </w:r>
    </w:p>
    <w:p>
      <w:pPr>
        <w:ind w:firstLine="411" w:firstLineChars="196"/>
        <w:rPr>
          <w:rFonts w:ascii="宋体" w:hAnsi="宋体"/>
          <w:szCs w:val="21"/>
        </w:rPr>
      </w:pPr>
      <w:r>
        <w:rPr>
          <w:rFonts w:hint="eastAsia" w:ascii="宋体" w:hAnsi="宋体"/>
          <w:szCs w:val="21"/>
        </w:rPr>
        <w:t>46.2，允许供应商自主选择以支票、汇票、本票、保函等非现金方式提交履约担保；</w:t>
      </w:r>
      <w:r>
        <w:t>中标</w:t>
      </w:r>
      <w:r>
        <w:rPr>
          <w:rFonts w:hint="eastAsia"/>
        </w:rPr>
        <w:t>人</w:t>
      </w:r>
      <w:r>
        <w:t>提交履约</w:t>
      </w:r>
      <w:r>
        <w:rPr>
          <w:rFonts w:hint="eastAsia"/>
        </w:rPr>
        <w:t>担保不是</w:t>
      </w:r>
      <w:r>
        <w:t>合同签订的</w:t>
      </w:r>
      <w:r>
        <w:rPr>
          <w:rFonts w:hint="eastAsia"/>
        </w:rPr>
        <w:t>前提</w:t>
      </w:r>
      <w:r>
        <w:t>条件，不要求中标</w:t>
      </w:r>
      <w:r>
        <w:rPr>
          <w:rFonts w:hint="eastAsia"/>
        </w:rPr>
        <w:t>人</w:t>
      </w:r>
      <w:r>
        <w:t>提供除法律、法规明确规定外的其他担保</w:t>
      </w:r>
      <w:r>
        <w:rPr>
          <w:rFonts w:hint="eastAsia"/>
        </w:rPr>
        <w:t>。</w:t>
      </w:r>
    </w:p>
    <w:p>
      <w:pPr>
        <w:rPr>
          <w:rFonts w:ascii="黑体" w:hAnsi="宋体" w:eastAsia="黑体"/>
          <w:sz w:val="24"/>
        </w:rPr>
      </w:pPr>
      <w:r>
        <w:rPr>
          <w:rFonts w:hint="eastAsia" w:ascii="黑体" w:hAnsi="宋体" w:eastAsia="黑体"/>
          <w:sz w:val="24"/>
        </w:rPr>
        <w:t>47. 合同备案</w:t>
      </w:r>
    </w:p>
    <w:p>
      <w:pPr>
        <w:rPr>
          <w:rFonts w:ascii="黑体" w:hAnsi="宋体" w:eastAsia="黑体"/>
          <w:sz w:val="24"/>
        </w:rPr>
      </w:pPr>
      <w:r>
        <w:rPr>
          <w:rFonts w:hint="eastAsia" w:ascii="宋体" w:hAnsi="宋体" w:eastAsia="宋体" w:cs="Times New Roman"/>
          <w:szCs w:val="21"/>
        </w:rPr>
        <w:t>采购人与中标供应商自中标通知书发出之日起10个工作日内签订政府采购合同，并按财政部门规定提交备案。</w:t>
      </w:r>
      <w:r>
        <w:rPr>
          <w:rFonts w:hint="eastAsia" w:ascii="黑体" w:hAnsi="宋体" w:eastAsia="黑体"/>
          <w:sz w:val="24"/>
        </w:rPr>
        <w:t>48. 合同变更</w:t>
      </w:r>
    </w:p>
    <w:p>
      <w:pPr>
        <w:ind w:firstLine="411" w:firstLineChars="196"/>
        <w:rPr>
          <w:rFonts w:ascii="宋体" w:hAnsi="宋体"/>
          <w:szCs w:val="21"/>
        </w:rPr>
      </w:pPr>
      <w:r>
        <w:rPr>
          <w:rFonts w:hint="eastAsia" w:ascii="宋体" w:hAnsi="宋体"/>
          <w:szCs w:val="21"/>
        </w:rPr>
        <w:t>合同变更事宜按《深圳市财政局关于优化政府采购合同备案的通知》（深财发保〔2022〕2号）相关规定执行。</w:t>
      </w:r>
    </w:p>
    <w:p>
      <w:pPr>
        <w:rPr>
          <w:rFonts w:ascii="黑体" w:hAnsi="宋体" w:eastAsia="黑体"/>
          <w:sz w:val="24"/>
        </w:rPr>
      </w:pPr>
      <w:r>
        <w:rPr>
          <w:rFonts w:hint="eastAsia" w:ascii="黑体" w:hAnsi="宋体" w:eastAsia="黑体"/>
          <w:sz w:val="24"/>
        </w:rPr>
        <w:t>49. 项目验收</w:t>
      </w:r>
    </w:p>
    <w:p>
      <w:pPr>
        <w:widowControl/>
        <w:ind w:right="176" w:firstLine="420"/>
        <w:jc w:val="left"/>
        <w:rPr>
          <w:rFonts w:ascii="宋体" w:hAnsi="宋体"/>
        </w:rPr>
      </w:pPr>
      <w:r>
        <w:rPr>
          <w:rFonts w:hint="eastAsia" w:ascii="宋体" w:hAnsi="宋体"/>
        </w:rPr>
        <w:t>49.1采购人应当按照招标文件和合同规定的标准和方法，及时组织验收。</w:t>
      </w:r>
    </w:p>
    <w:p>
      <w:pPr>
        <w:rPr>
          <w:rFonts w:ascii="黑体" w:hAnsi="宋体" w:eastAsia="黑体"/>
          <w:sz w:val="24"/>
        </w:rPr>
      </w:pPr>
      <w:r>
        <w:rPr>
          <w:rFonts w:hint="eastAsia" w:ascii="黑体" w:hAnsi="宋体" w:eastAsia="黑体"/>
          <w:sz w:val="24"/>
        </w:rPr>
        <w:t>50. 宣传</w:t>
      </w:r>
    </w:p>
    <w:p>
      <w:pPr>
        <w:ind w:left="210" w:leftChars="100" w:firstLine="411" w:firstLineChars="196"/>
        <w:rPr>
          <w:rFonts w:ascii="宋体" w:hAnsi="宋体"/>
        </w:rPr>
      </w:pPr>
      <w:r>
        <w:rPr>
          <w:rFonts w:hint="eastAsia" w:ascii="宋体" w:hAnsi="宋体"/>
        </w:rPr>
        <w:t>凡与政府采购活动有关的宣传或广告，若当中提及政府采购，</w:t>
      </w:r>
      <w:r>
        <w:rPr>
          <w:rFonts w:ascii="宋体" w:hAnsi="宋体"/>
        </w:rPr>
        <w:t>必须事先将具体对外宣传方案报</w:t>
      </w:r>
      <w:r>
        <w:rPr>
          <w:rFonts w:hint="eastAsia" w:ascii="宋体" w:hAnsi="宋体"/>
        </w:rPr>
        <w:t>同级财政部门</w:t>
      </w:r>
      <w:r>
        <w:rPr>
          <w:rFonts w:ascii="宋体" w:hAnsi="宋体"/>
        </w:rPr>
        <w:t>和</w:t>
      </w:r>
      <w:r>
        <w:rPr>
          <w:rFonts w:hint="eastAsia" w:ascii="宋体" w:hAnsi="宋体"/>
        </w:rPr>
        <w:t>政府集中采购机构</w:t>
      </w:r>
      <w:r>
        <w:rPr>
          <w:rFonts w:ascii="宋体" w:hAnsi="宋体"/>
        </w:rPr>
        <w:t>，并征得其同意。对外市场宣传包括但不限于以下形式：</w:t>
      </w:r>
    </w:p>
    <w:p>
      <w:pPr>
        <w:ind w:left="210" w:leftChars="100" w:firstLine="411" w:firstLineChars="196"/>
        <w:rPr>
          <w:rFonts w:ascii="宋体" w:hAnsi="宋体"/>
        </w:rPr>
      </w:pPr>
      <w:r>
        <w:rPr>
          <w:rFonts w:ascii="宋体" w:hAnsi="宋体"/>
        </w:rPr>
        <w:t>a.名片、宣传册、广告标语等；</w:t>
      </w:r>
    </w:p>
    <w:p>
      <w:pPr>
        <w:ind w:left="210" w:leftChars="100" w:firstLine="411" w:firstLineChars="196"/>
        <w:rPr>
          <w:rFonts w:ascii="宋体" w:hAnsi="宋体"/>
        </w:rPr>
      </w:pPr>
      <w:r>
        <w:rPr>
          <w:rFonts w:ascii="宋体" w:hAnsi="宋体"/>
        </w:rPr>
        <w:t>b.案例介绍、推广等；</w:t>
      </w:r>
    </w:p>
    <w:p>
      <w:pPr>
        <w:ind w:left="210" w:leftChars="100" w:firstLine="411" w:firstLineChars="196"/>
        <w:rPr>
          <w:rFonts w:ascii="宋体" w:hAnsi="宋体"/>
        </w:rPr>
      </w:pPr>
      <w:r>
        <w:rPr>
          <w:rFonts w:hint="eastAsia" w:ascii="宋体" w:hAnsi="宋体"/>
        </w:rPr>
        <w:t>c.工作</w:t>
      </w:r>
      <w:r>
        <w:rPr>
          <w:rFonts w:ascii="宋体" w:hAnsi="宋体"/>
        </w:rPr>
        <w:t>人员向其他消费群体宣传。</w:t>
      </w:r>
    </w:p>
    <w:p>
      <w:pPr>
        <w:rPr>
          <w:rFonts w:ascii="黑体" w:hAnsi="宋体" w:eastAsia="黑体"/>
          <w:sz w:val="24"/>
        </w:rPr>
      </w:pPr>
      <w:r>
        <w:rPr>
          <w:rFonts w:hint="eastAsia" w:ascii="黑体" w:hAnsi="宋体" w:eastAsia="黑体"/>
          <w:sz w:val="24"/>
        </w:rPr>
        <w:t>51. 供应商违法责任</w:t>
      </w:r>
    </w:p>
    <w:p>
      <w:pPr>
        <w:ind w:firstLine="411" w:firstLineChars="196"/>
        <w:rPr>
          <w:rFonts w:ascii="宋体" w:hAnsi="宋体"/>
          <w:szCs w:val="21"/>
        </w:rPr>
      </w:pPr>
      <w:r>
        <w:rPr>
          <w:rFonts w:hint="eastAsia" w:ascii="宋体" w:hAnsi="宋体"/>
          <w:szCs w:val="21"/>
        </w:rPr>
        <w:t>5</w:t>
      </w:r>
      <w:r>
        <w:rPr>
          <w:rFonts w:ascii="宋体" w:hAnsi="宋体"/>
          <w:szCs w:val="21"/>
        </w:rPr>
        <w:t>1.1</w:t>
      </w:r>
      <w:r>
        <w:rPr>
          <w:rFonts w:hint="eastAsia" w:ascii="宋体" w:hAnsi="宋体"/>
          <w:szCs w:val="21"/>
        </w:rPr>
        <w:t>《深圳经济特区政府采购条例》第五十七条 供应商在政府采购中，有下列行为之一的，一至三年内禁止其参与本市政府采购，并由主管部门记入供应商诚信档案，处以采购金额千分之十以上千分之二十以下的罚款；情节严重的，取消其参与本市政府采购资格，处以采购金额千分之二十以上千分之三十以下的罚款，并由市场监管部门依法吊销其营业执照；给他人造成损失的，依法承担赔偿责任；构成犯罪的，依法追究刑事责任：</w:t>
      </w:r>
    </w:p>
    <w:p>
      <w:pPr>
        <w:ind w:firstLine="411" w:firstLineChars="196"/>
        <w:rPr>
          <w:rFonts w:ascii="宋体" w:hAnsi="宋体"/>
          <w:szCs w:val="21"/>
        </w:rPr>
      </w:pPr>
      <w:r>
        <w:rPr>
          <w:rFonts w:hint="eastAsia" w:ascii="宋体" w:hAnsi="宋体"/>
          <w:szCs w:val="21"/>
        </w:rPr>
        <w:t>（1）在采购活动中应当回避而未回避的；</w:t>
      </w:r>
    </w:p>
    <w:p>
      <w:pPr>
        <w:ind w:firstLine="411" w:firstLineChars="196"/>
        <w:rPr>
          <w:rFonts w:ascii="宋体" w:hAnsi="宋体"/>
          <w:szCs w:val="21"/>
        </w:rPr>
      </w:pPr>
      <w:r>
        <w:rPr>
          <w:rFonts w:hint="eastAsia" w:ascii="宋体" w:hAnsi="宋体"/>
          <w:szCs w:val="21"/>
        </w:rPr>
        <w:t>（2）未按本条例规定签订、履行采购合同，造成严重后果的；</w:t>
      </w:r>
    </w:p>
    <w:p>
      <w:pPr>
        <w:ind w:firstLine="411" w:firstLineChars="196"/>
        <w:rPr>
          <w:rFonts w:ascii="宋体" w:hAnsi="宋体"/>
          <w:szCs w:val="21"/>
        </w:rPr>
      </w:pPr>
      <w:r>
        <w:rPr>
          <w:rFonts w:hint="eastAsia" w:ascii="宋体" w:hAnsi="宋体"/>
          <w:szCs w:val="21"/>
        </w:rPr>
        <w:t>（3）隐瞒真实情况，提供虚假资料的；</w:t>
      </w:r>
    </w:p>
    <w:p>
      <w:pPr>
        <w:ind w:firstLine="411" w:firstLineChars="196"/>
        <w:rPr>
          <w:rFonts w:ascii="宋体" w:hAnsi="宋体"/>
          <w:szCs w:val="21"/>
        </w:rPr>
      </w:pPr>
      <w:r>
        <w:rPr>
          <w:rFonts w:hint="eastAsia" w:ascii="宋体" w:hAnsi="宋体"/>
          <w:szCs w:val="21"/>
        </w:rPr>
        <w:t>（4）以非法手段排斥其他供应商参与竞争的；</w:t>
      </w:r>
    </w:p>
    <w:p>
      <w:pPr>
        <w:ind w:firstLine="411" w:firstLineChars="196"/>
        <w:rPr>
          <w:rFonts w:ascii="宋体" w:hAnsi="宋体"/>
          <w:szCs w:val="21"/>
        </w:rPr>
      </w:pPr>
      <w:r>
        <w:rPr>
          <w:rFonts w:hint="eastAsia" w:ascii="宋体" w:hAnsi="宋体"/>
          <w:szCs w:val="21"/>
        </w:rPr>
        <w:t>（5）与其他采购参加人串通投标的；</w:t>
      </w:r>
    </w:p>
    <w:p>
      <w:pPr>
        <w:ind w:firstLine="411" w:firstLineChars="196"/>
        <w:rPr>
          <w:rFonts w:ascii="宋体" w:hAnsi="宋体"/>
          <w:szCs w:val="21"/>
        </w:rPr>
      </w:pPr>
      <w:r>
        <w:rPr>
          <w:rFonts w:hint="eastAsia" w:ascii="宋体" w:hAnsi="宋体"/>
          <w:szCs w:val="21"/>
        </w:rPr>
        <w:t>（6）恶意投诉的；</w:t>
      </w:r>
    </w:p>
    <w:p>
      <w:pPr>
        <w:ind w:firstLine="411" w:firstLineChars="196"/>
        <w:rPr>
          <w:rFonts w:ascii="宋体" w:hAnsi="宋体"/>
          <w:szCs w:val="21"/>
        </w:rPr>
      </w:pPr>
      <w:r>
        <w:rPr>
          <w:rFonts w:hint="eastAsia" w:ascii="宋体" w:hAnsi="宋体"/>
          <w:szCs w:val="21"/>
        </w:rPr>
        <w:t>（7）向采购项目相关人行贿或者提供其他不当利益的；</w:t>
      </w:r>
    </w:p>
    <w:p>
      <w:pPr>
        <w:ind w:firstLine="411" w:firstLineChars="196"/>
        <w:rPr>
          <w:rFonts w:ascii="宋体" w:hAnsi="宋体"/>
          <w:szCs w:val="21"/>
        </w:rPr>
      </w:pPr>
      <w:r>
        <w:rPr>
          <w:rFonts w:hint="eastAsia" w:ascii="宋体" w:hAnsi="宋体"/>
          <w:szCs w:val="21"/>
        </w:rPr>
        <w:t>（8）阻碍、抗拒主管部门监督检查的；</w:t>
      </w:r>
    </w:p>
    <w:p>
      <w:pPr>
        <w:ind w:firstLine="411" w:firstLineChars="196"/>
        <w:rPr>
          <w:rFonts w:ascii="宋体" w:hAnsi="宋体"/>
          <w:szCs w:val="21"/>
        </w:rPr>
      </w:pPr>
      <w:r>
        <w:rPr>
          <w:rFonts w:hint="eastAsia" w:ascii="宋体" w:hAnsi="宋体"/>
          <w:szCs w:val="21"/>
        </w:rPr>
        <w:t>（9）其他违反本条例规定的行为。</w:t>
      </w:r>
    </w:p>
    <w:p>
      <w:pPr>
        <w:ind w:firstLine="411" w:firstLineChars="196"/>
        <w:rPr>
          <w:rFonts w:ascii="宋体" w:hAnsi="宋体"/>
          <w:szCs w:val="21"/>
        </w:rPr>
      </w:pPr>
      <w:r>
        <w:rPr>
          <w:rFonts w:hint="eastAsia" w:ascii="宋体" w:hAnsi="宋体"/>
          <w:szCs w:val="21"/>
        </w:rPr>
        <w:t>5</w:t>
      </w:r>
      <w:r>
        <w:rPr>
          <w:rFonts w:ascii="宋体" w:hAnsi="宋体"/>
          <w:szCs w:val="21"/>
        </w:rPr>
        <w:t xml:space="preserve">1.2 </w:t>
      </w:r>
      <w:r>
        <w:rPr>
          <w:rFonts w:hint="eastAsia" w:ascii="宋体" w:hAnsi="宋体"/>
          <w:szCs w:val="21"/>
        </w:rPr>
        <w:t>根据《深圳市财政局关于调整政府采购投标（响应）保证金管理政策的通知 》（深财购〔2021〕51 号）的要求，供应商在政府采购活动中出现《深圳经济特区政府采购条例实施细则》第八十条所列情形的，</w:t>
      </w:r>
      <w:bookmarkStart w:id="79" w:name="_Hlk72440769"/>
      <w:r>
        <w:rPr>
          <w:rFonts w:hint="eastAsia" w:ascii="宋体" w:hAnsi="宋体"/>
          <w:szCs w:val="21"/>
        </w:rPr>
        <w:t>政府集中采购机构或采购人不予退还其交纳的谈判保证金，情节严重的，并由主管部门</w:t>
      </w:r>
      <w:bookmarkEnd w:id="79"/>
      <w:r>
        <w:rPr>
          <w:rFonts w:hint="eastAsia" w:ascii="宋体" w:hAnsi="宋体"/>
          <w:szCs w:val="21"/>
        </w:rPr>
        <w:t>记入供应商诚信档案，予以通报：</w:t>
      </w:r>
    </w:p>
    <w:p>
      <w:pPr>
        <w:ind w:firstLine="411" w:firstLineChars="196"/>
        <w:rPr>
          <w:rFonts w:ascii="宋体" w:hAnsi="宋体"/>
          <w:szCs w:val="21"/>
        </w:rPr>
      </w:pPr>
      <w:r>
        <w:rPr>
          <w:rFonts w:hint="eastAsia" w:ascii="宋体" w:hAnsi="宋体"/>
          <w:szCs w:val="21"/>
        </w:rPr>
        <w:t>（1</w:t>
      </w:r>
      <w:r>
        <w:rPr>
          <w:rFonts w:ascii="宋体" w:hAnsi="宋体"/>
          <w:szCs w:val="21"/>
        </w:rPr>
        <w:t>）投标截止后，撤销投标的；</w:t>
      </w:r>
    </w:p>
    <w:p>
      <w:pPr>
        <w:ind w:firstLine="411" w:firstLineChars="196"/>
        <w:rPr>
          <w:rFonts w:ascii="宋体" w:hAnsi="宋体"/>
          <w:szCs w:val="21"/>
        </w:rPr>
      </w:pPr>
      <w:r>
        <w:rPr>
          <w:rFonts w:ascii="宋体" w:hAnsi="宋体"/>
          <w:szCs w:val="21"/>
        </w:rPr>
        <w:t>（</w:t>
      </w:r>
      <w:r>
        <w:rPr>
          <w:rFonts w:hint="eastAsia" w:ascii="宋体" w:hAnsi="宋体"/>
          <w:szCs w:val="21"/>
        </w:rPr>
        <w:t>2</w:t>
      </w:r>
      <w:r>
        <w:rPr>
          <w:rFonts w:ascii="宋体" w:hAnsi="宋体"/>
          <w:szCs w:val="21"/>
        </w:rPr>
        <w:t>）中标后无正当理由未在规定期限内签订合同的；</w:t>
      </w:r>
    </w:p>
    <w:p>
      <w:pPr>
        <w:ind w:firstLine="411" w:firstLineChars="196"/>
        <w:rPr>
          <w:rFonts w:ascii="宋体" w:hAnsi="宋体"/>
          <w:szCs w:val="21"/>
        </w:rPr>
      </w:pPr>
      <w:r>
        <w:rPr>
          <w:rFonts w:ascii="宋体" w:hAnsi="宋体"/>
          <w:szCs w:val="21"/>
        </w:rPr>
        <w:t>（</w:t>
      </w:r>
      <w:r>
        <w:rPr>
          <w:rFonts w:hint="eastAsia" w:ascii="宋体" w:hAnsi="宋体"/>
          <w:szCs w:val="21"/>
        </w:rPr>
        <w:t>3</w:t>
      </w:r>
      <w:r>
        <w:rPr>
          <w:rFonts w:ascii="宋体" w:hAnsi="宋体"/>
          <w:szCs w:val="21"/>
        </w:rPr>
        <w:t>）将中标项目转让给他人、或者在投标文件中未说明且未经采购人、采购招标机构同意，将中标项目分包给他人的；</w:t>
      </w:r>
    </w:p>
    <w:p>
      <w:pPr>
        <w:ind w:firstLine="411" w:firstLineChars="196"/>
        <w:rPr>
          <w:rFonts w:ascii="宋体" w:hAnsi="宋体"/>
          <w:szCs w:val="21"/>
        </w:rPr>
      </w:pPr>
      <w:r>
        <w:rPr>
          <w:rFonts w:ascii="宋体" w:hAnsi="宋体"/>
          <w:szCs w:val="21"/>
        </w:rPr>
        <w:t>（</w:t>
      </w:r>
      <w:r>
        <w:rPr>
          <w:rFonts w:hint="eastAsia" w:ascii="宋体" w:hAnsi="宋体"/>
          <w:szCs w:val="21"/>
        </w:rPr>
        <w:t>4</w:t>
      </w:r>
      <w:r>
        <w:rPr>
          <w:rFonts w:ascii="宋体" w:hAnsi="宋体"/>
          <w:szCs w:val="21"/>
        </w:rPr>
        <w:t>）拒绝履行合同义务的</w:t>
      </w:r>
      <w:r>
        <w:rPr>
          <w:rFonts w:hint="eastAsia" w:ascii="宋体" w:hAnsi="宋体"/>
          <w:szCs w:val="21"/>
        </w:rPr>
        <w:t>。</w:t>
      </w:r>
    </w:p>
    <w:bookmarkEnd w:id="63"/>
    <w:p>
      <w:pPr>
        <w:pStyle w:val="3"/>
        <w:numPr>
          <w:ilvl w:val="0"/>
          <w:numId w:val="4"/>
        </w:numPr>
        <w:spacing w:beforeLines="50" w:afterLines="50"/>
        <w:ind w:left="562" w:hanging="562"/>
        <w:rPr>
          <w:sz w:val="28"/>
          <w:szCs w:val="28"/>
        </w:rPr>
      </w:pPr>
      <w:r>
        <w:rPr>
          <w:rFonts w:hint="eastAsia"/>
          <w:sz w:val="28"/>
          <w:szCs w:val="28"/>
        </w:rPr>
        <w:t>质疑处理</w:t>
      </w:r>
    </w:p>
    <w:p>
      <w:pPr>
        <w:rPr>
          <w:rFonts w:ascii="黑体" w:hAnsi="宋体" w:eastAsia="黑体"/>
          <w:sz w:val="24"/>
        </w:rPr>
      </w:pPr>
      <w:r>
        <w:rPr>
          <w:rFonts w:hint="eastAsia" w:ascii="黑体" w:hAnsi="宋体" w:eastAsia="黑体"/>
          <w:sz w:val="24"/>
        </w:rPr>
        <w:t>52.质疑提出与答复</w:t>
      </w:r>
    </w:p>
    <w:p>
      <w:pPr>
        <w:rPr>
          <w:rFonts w:ascii="宋体" w:hAnsi="宋体"/>
          <w:szCs w:val="21"/>
        </w:rPr>
      </w:pPr>
      <w:r>
        <w:rPr>
          <w:rFonts w:hint="eastAsia" w:ascii="宋体" w:hAnsi="宋体"/>
          <w:szCs w:val="21"/>
        </w:rPr>
        <w:t xml:space="preserve">    52.1提出质疑</w:t>
      </w:r>
    </w:p>
    <w:p>
      <w:pPr>
        <w:rPr>
          <w:rFonts w:ascii="宋体" w:hAnsi="宋体"/>
          <w:szCs w:val="21"/>
        </w:rPr>
      </w:pPr>
      <w:r>
        <w:rPr>
          <w:rFonts w:hint="eastAsia" w:ascii="宋体" w:hAnsi="宋体"/>
          <w:szCs w:val="21"/>
        </w:rPr>
        <w:t xml:space="preserve">    参与政府采购活动的供应商认为自己的权益在采购活动中受到损害的，应当自知道或者应当知道其权益受到损害之日起七个工作日内向采购人、政府集中采购机构以书面形式提出质疑。</w:t>
      </w:r>
    </w:p>
    <w:p>
      <w:pPr>
        <w:rPr>
          <w:rFonts w:ascii="宋体" w:hAnsi="宋体"/>
          <w:szCs w:val="21"/>
        </w:rPr>
      </w:pPr>
      <w:r>
        <w:rPr>
          <w:rFonts w:hint="eastAsia" w:ascii="宋体" w:hAnsi="宋体"/>
          <w:szCs w:val="21"/>
        </w:rPr>
        <w:t xml:space="preserve">    52.2</w:t>
      </w:r>
      <w:r>
        <w:rPr>
          <w:rFonts w:ascii="宋体" w:hAnsi="宋体"/>
          <w:szCs w:val="21"/>
        </w:rPr>
        <w:t>法律依据</w:t>
      </w:r>
    </w:p>
    <w:p>
      <w:pPr>
        <w:rPr>
          <w:rFonts w:ascii="宋体" w:hAnsi="宋体"/>
          <w:szCs w:val="21"/>
        </w:rPr>
      </w:pPr>
      <w:r>
        <w:rPr>
          <w:rFonts w:hint="eastAsia" w:ascii="宋体" w:hAnsi="宋体"/>
          <w:szCs w:val="21"/>
        </w:rPr>
        <w:t xml:space="preserve">    《中华人民共和国政府采购法》、《中华人民共和国政府采购法实施条例》、</w:t>
      </w:r>
      <w:r>
        <w:rPr>
          <w:rFonts w:ascii="宋体" w:hAnsi="宋体"/>
          <w:szCs w:val="21"/>
        </w:rPr>
        <w:t>《</w:t>
      </w:r>
      <w:r>
        <w:rPr>
          <w:rFonts w:hint="eastAsia" w:ascii="宋体" w:hAnsi="宋体"/>
          <w:szCs w:val="21"/>
        </w:rPr>
        <w:t>深圳经济特区政府采购</w:t>
      </w:r>
      <w:r>
        <w:rPr>
          <w:rFonts w:ascii="宋体" w:hAnsi="宋体"/>
          <w:szCs w:val="21"/>
        </w:rPr>
        <w:t>条例</w:t>
      </w:r>
      <w:r>
        <w:rPr>
          <w:rFonts w:hint="eastAsia" w:ascii="宋体" w:hAnsi="宋体"/>
          <w:szCs w:val="21"/>
        </w:rPr>
        <w:t>》、《深圳经济特区政府采购条例实施细则》、《政府采购质疑和投诉办法》（财政部令第94号）和其他有关法律法规规定。</w:t>
      </w:r>
    </w:p>
    <w:p>
      <w:pPr>
        <w:rPr>
          <w:rFonts w:ascii="宋体" w:hAnsi="宋体"/>
          <w:szCs w:val="21"/>
        </w:rPr>
      </w:pPr>
      <w:r>
        <w:rPr>
          <w:rFonts w:hint="eastAsia" w:ascii="宋体" w:hAnsi="宋体"/>
          <w:szCs w:val="21"/>
        </w:rPr>
        <w:t>52.3质疑条件</w:t>
      </w:r>
    </w:p>
    <w:p>
      <w:pPr>
        <w:rPr>
          <w:rFonts w:ascii="宋体" w:hAnsi="宋体"/>
          <w:szCs w:val="21"/>
        </w:rPr>
      </w:pPr>
      <w:r>
        <w:rPr>
          <w:rFonts w:hint="eastAsia" w:ascii="宋体" w:hAnsi="宋体"/>
          <w:szCs w:val="21"/>
        </w:rPr>
        <w:t xml:space="preserve">    52.3.1提出质疑的供应商应当是参与所质疑项目采购活动的供应商；</w:t>
      </w:r>
      <w:bookmarkStart w:id="80" w:name="_Hlk75374941"/>
      <w:r>
        <w:rPr>
          <w:rFonts w:hint="eastAsia" w:ascii="宋体" w:hAnsi="宋体"/>
          <w:szCs w:val="21"/>
        </w:rPr>
        <w:t>以联合体形式参与的，质疑应当由组成联合体的所有成员共同提出</w:t>
      </w:r>
      <w:bookmarkEnd w:id="80"/>
      <w:r>
        <w:rPr>
          <w:rFonts w:hint="eastAsia" w:ascii="宋体" w:hAnsi="宋体"/>
          <w:szCs w:val="21"/>
        </w:rPr>
        <w:t>；</w:t>
      </w:r>
    </w:p>
    <w:p>
      <w:pPr>
        <w:rPr>
          <w:rFonts w:ascii="宋体" w:hAnsi="宋体"/>
          <w:szCs w:val="21"/>
        </w:rPr>
      </w:pPr>
      <w:r>
        <w:rPr>
          <w:rFonts w:hint="eastAsia" w:ascii="宋体" w:hAnsi="宋体"/>
          <w:szCs w:val="21"/>
        </w:rPr>
        <w:t xml:space="preserve">    52.3.2应当在法定质疑期内一次性提出针对同一采购程序环节的质疑，法定质疑期为自知道或应当知道权益受到损害之日起7个工作日内。应当知道其权益受到损害之日是指：对招标文件的质疑，为招标文件公布之日；对采购过程的质疑，为各采购程序环节结束之日；对中标结果以及评审委员会组成人员的质疑，为中标结果公示之日；</w:t>
      </w:r>
    </w:p>
    <w:p>
      <w:pPr>
        <w:ind w:firstLine="420"/>
        <w:rPr>
          <w:rFonts w:ascii="宋体" w:hAnsi="宋体"/>
          <w:szCs w:val="21"/>
        </w:rPr>
      </w:pPr>
      <w:r>
        <w:rPr>
          <w:rFonts w:hint="eastAsia" w:ascii="宋体" w:hAnsi="宋体"/>
          <w:szCs w:val="21"/>
        </w:rPr>
        <w:t>52.3.3应提交书面质疑函，质疑函应当包括以下内容：</w:t>
      </w:r>
    </w:p>
    <w:p>
      <w:pPr>
        <w:ind w:firstLine="420"/>
        <w:rPr>
          <w:rFonts w:ascii="宋体" w:hAnsi="宋体"/>
          <w:szCs w:val="21"/>
        </w:rPr>
      </w:pPr>
      <w:r>
        <w:rPr>
          <w:rFonts w:hint="eastAsia" w:ascii="宋体" w:hAnsi="宋体"/>
          <w:szCs w:val="21"/>
        </w:rPr>
        <w:t>（1）供应商的名称（或者姓名）、地址、邮编、邮箱、联系人及联系电话；</w:t>
      </w:r>
    </w:p>
    <w:p>
      <w:pPr>
        <w:ind w:firstLine="420" w:firstLineChars="200"/>
        <w:rPr>
          <w:rFonts w:ascii="宋体" w:hAnsi="宋体"/>
          <w:szCs w:val="21"/>
        </w:rPr>
      </w:pPr>
      <w:r>
        <w:rPr>
          <w:rFonts w:hint="eastAsia" w:ascii="宋体" w:hAnsi="宋体"/>
          <w:szCs w:val="21"/>
        </w:rPr>
        <w:t>（2）质疑项目的名称、编号；</w:t>
      </w:r>
    </w:p>
    <w:p>
      <w:pPr>
        <w:ind w:firstLine="420" w:firstLineChars="200"/>
        <w:rPr>
          <w:rFonts w:ascii="宋体" w:hAnsi="宋体"/>
          <w:szCs w:val="21"/>
        </w:rPr>
      </w:pPr>
      <w:r>
        <w:rPr>
          <w:rFonts w:hint="eastAsia" w:ascii="宋体" w:hAnsi="宋体"/>
          <w:szCs w:val="21"/>
        </w:rPr>
        <w:t>（3）具体、明确的质疑对象、质疑事项和质疑请求；</w:t>
      </w:r>
    </w:p>
    <w:p>
      <w:pPr>
        <w:ind w:firstLine="420" w:firstLineChars="200"/>
        <w:rPr>
          <w:rFonts w:ascii="宋体" w:hAnsi="宋体"/>
          <w:szCs w:val="21"/>
        </w:rPr>
      </w:pPr>
      <w:r>
        <w:rPr>
          <w:rFonts w:hint="eastAsia" w:ascii="宋体" w:hAnsi="宋体"/>
          <w:szCs w:val="21"/>
        </w:rPr>
        <w:t>（4）因质疑事项而受损害的权益；</w:t>
      </w:r>
    </w:p>
    <w:p>
      <w:pPr>
        <w:ind w:firstLine="420" w:firstLineChars="200"/>
        <w:rPr>
          <w:rFonts w:ascii="宋体" w:hAnsi="宋体"/>
          <w:szCs w:val="21"/>
        </w:rPr>
      </w:pPr>
      <w:r>
        <w:rPr>
          <w:rFonts w:hint="eastAsia" w:ascii="宋体" w:hAnsi="宋体"/>
          <w:szCs w:val="21"/>
        </w:rPr>
        <w:t>（5）事实依据；</w:t>
      </w:r>
    </w:p>
    <w:p>
      <w:pPr>
        <w:ind w:firstLine="420" w:firstLineChars="200"/>
        <w:rPr>
          <w:rFonts w:ascii="宋体" w:hAnsi="宋体"/>
          <w:szCs w:val="21"/>
        </w:rPr>
      </w:pPr>
      <w:r>
        <w:rPr>
          <w:rFonts w:hint="eastAsia" w:ascii="宋体" w:hAnsi="宋体"/>
          <w:szCs w:val="21"/>
        </w:rPr>
        <w:t>（6）必要的法律依据；</w:t>
      </w:r>
    </w:p>
    <w:p>
      <w:pPr>
        <w:ind w:firstLine="420" w:firstLineChars="200"/>
        <w:rPr>
          <w:rFonts w:ascii="宋体" w:hAnsi="宋体"/>
          <w:szCs w:val="21"/>
        </w:rPr>
      </w:pPr>
      <w:r>
        <w:rPr>
          <w:rFonts w:hint="eastAsia" w:ascii="宋体" w:hAnsi="宋体"/>
          <w:szCs w:val="21"/>
        </w:rPr>
        <w:t>（7）提出质疑的日期。</w:t>
      </w:r>
    </w:p>
    <w:p>
      <w:pPr>
        <w:ind w:firstLine="420" w:firstLineChars="200"/>
        <w:rPr>
          <w:rFonts w:ascii="宋体" w:hAnsi="宋体"/>
          <w:szCs w:val="21"/>
        </w:rPr>
      </w:pPr>
      <w:r>
        <w:rPr>
          <w:rFonts w:hint="eastAsia" w:ascii="宋体" w:hAnsi="宋体"/>
          <w:szCs w:val="21"/>
        </w:rPr>
        <w:t>供应商为自然人的，应当由本人签字；供应商为法人或者其他组织的，应当由法定代表人（负责人），或者其授权代理人签字或者盖章，并加盖公章。</w:t>
      </w:r>
    </w:p>
    <w:p>
      <w:pPr>
        <w:ind w:firstLine="420" w:firstLineChars="200"/>
        <w:rPr>
          <w:rFonts w:ascii="宋体" w:hAnsi="宋体"/>
          <w:szCs w:val="21"/>
        </w:rPr>
      </w:pPr>
      <w:r>
        <w:rPr>
          <w:rFonts w:hint="eastAsia" w:ascii="宋体" w:hAnsi="宋体"/>
          <w:szCs w:val="21"/>
        </w:rPr>
        <w:t>52.4提交</w:t>
      </w:r>
      <w:r>
        <w:rPr>
          <w:rFonts w:ascii="宋体" w:hAnsi="宋体"/>
          <w:szCs w:val="21"/>
        </w:rPr>
        <w:t>材料</w:t>
      </w:r>
    </w:p>
    <w:p>
      <w:pPr>
        <w:ind w:firstLine="420" w:firstLineChars="200"/>
        <w:rPr>
          <w:rFonts w:ascii="宋体" w:hAnsi="宋体"/>
          <w:szCs w:val="21"/>
        </w:rPr>
      </w:pPr>
      <w:r>
        <w:rPr>
          <w:rFonts w:hint="eastAsia" w:ascii="宋体" w:hAnsi="宋体"/>
          <w:szCs w:val="21"/>
        </w:rPr>
        <w:t>供应商质疑实行实名制。供应商为自然人的，应当提交本人身份证复印件；供应商为法人或者其他组织的，应当根据自身性质提交营业执照复印件或者其他证明文件（如事业单位法人证书等）复印件。</w:t>
      </w:r>
    </w:p>
    <w:p>
      <w:pPr>
        <w:ind w:firstLine="420" w:firstLineChars="200"/>
        <w:rPr>
          <w:rFonts w:ascii="宋体" w:hAnsi="宋体"/>
          <w:szCs w:val="21"/>
        </w:rPr>
      </w:pPr>
      <w:r>
        <w:rPr>
          <w:rFonts w:hint="eastAsia" w:ascii="宋体" w:hAnsi="宋体"/>
          <w:szCs w:val="21"/>
        </w:rPr>
        <w:t>供应商可以委托代理人进行质疑。</w:t>
      </w:r>
      <w:r>
        <w:rPr>
          <w:rFonts w:ascii="宋体" w:hAnsi="宋体"/>
          <w:szCs w:val="21"/>
        </w:rPr>
        <w:t>其授权委托书应当载明代理人的姓名或者名称、代理事项、具体权限、期限和相关事项。供应商为自然人的，应当由本人签字；供应商为法人或者其他组织的，应当由法定代表人、主要负责人签字或者盖章，并加盖公章。</w:t>
      </w:r>
    </w:p>
    <w:p>
      <w:pPr>
        <w:ind w:firstLine="420" w:firstLineChars="200"/>
        <w:rPr>
          <w:rFonts w:ascii="宋体" w:hAnsi="宋体"/>
          <w:szCs w:val="21"/>
        </w:rPr>
      </w:pPr>
      <w:r>
        <w:rPr>
          <w:rFonts w:hint="eastAsia" w:ascii="宋体" w:hAnsi="宋体"/>
          <w:szCs w:val="21"/>
        </w:rPr>
        <w:t>52.5收文地点</w:t>
      </w:r>
    </w:p>
    <w:p>
      <w:pPr>
        <w:ind w:firstLine="422" w:firstLineChars="200"/>
        <w:rPr>
          <w:rFonts w:ascii="宋体" w:hAnsi="宋体"/>
          <w:b/>
          <w:bCs/>
          <w:szCs w:val="21"/>
        </w:rPr>
      </w:pPr>
      <w:r>
        <w:rPr>
          <w:rFonts w:hint="eastAsia" w:ascii="宋体" w:hAnsi="宋体"/>
          <w:b/>
          <w:bCs/>
          <w:szCs w:val="21"/>
        </w:rPr>
        <w:t>地址：深圳公共资源交易中心（深圳交易集团有限公司宝安分公司）一楼服务大厅，质疑咨询电话：0755-27758331。</w:t>
      </w:r>
    </w:p>
    <w:p>
      <w:pPr>
        <w:ind w:firstLine="420" w:firstLineChars="200"/>
        <w:rPr>
          <w:rFonts w:ascii="宋体" w:hAnsi="宋体"/>
          <w:szCs w:val="21"/>
        </w:rPr>
      </w:pPr>
      <w:r>
        <w:rPr>
          <w:rFonts w:hint="eastAsia" w:ascii="宋体" w:hAnsi="宋体"/>
          <w:szCs w:val="21"/>
        </w:rPr>
        <w:t>52.6收文办理</w:t>
      </w:r>
      <w:r>
        <w:rPr>
          <w:rFonts w:ascii="宋体" w:hAnsi="宋体"/>
          <w:szCs w:val="21"/>
        </w:rPr>
        <w:t>程序</w:t>
      </w:r>
    </w:p>
    <w:p>
      <w:pPr>
        <w:ind w:firstLine="420" w:firstLineChars="200"/>
        <w:rPr>
          <w:rFonts w:ascii="宋体" w:hAnsi="宋体"/>
          <w:szCs w:val="21"/>
        </w:rPr>
      </w:pPr>
      <w:r>
        <w:rPr>
          <w:rFonts w:hint="eastAsia" w:ascii="宋体" w:hAnsi="宋体"/>
          <w:szCs w:val="21"/>
        </w:rPr>
        <w:t>52.6.1供应商提交的质疑符合受理条件的，政府集中采购机构自收到质疑材料之日起即为受理，应当向供应商出具质疑函收文回执并可以要求其递交质疑的法定代表人（负责人）或者授权代理人签署质疑文书送达地址确认书。</w:t>
      </w:r>
    </w:p>
    <w:p>
      <w:pPr>
        <w:ind w:firstLine="420" w:firstLineChars="200"/>
        <w:rPr>
          <w:rFonts w:ascii="仿宋" w:hAnsi="仿宋" w:eastAsia="仿宋"/>
          <w:sz w:val="28"/>
          <w:szCs w:val="28"/>
        </w:rPr>
      </w:pPr>
      <w:r>
        <w:rPr>
          <w:rFonts w:hint="eastAsia" w:ascii="宋体" w:hAnsi="宋体"/>
          <w:szCs w:val="21"/>
        </w:rPr>
        <w:t>52.6.2供应商提交的质疑材料不符合质疑条件的，视情况处理：</w:t>
      </w:r>
    </w:p>
    <w:p>
      <w:pPr>
        <w:ind w:firstLine="420" w:firstLineChars="200"/>
        <w:rPr>
          <w:rFonts w:ascii="宋体" w:hAnsi="宋体"/>
          <w:szCs w:val="21"/>
        </w:rPr>
      </w:pPr>
      <w:r>
        <w:rPr>
          <w:rFonts w:hint="eastAsia" w:ascii="宋体" w:hAnsi="宋体"/>
          <w:szCs w:val="21"/>
        </w:rPr>
        <w:t>供应商提交的质疑材料不全或者未按要求签字或者盖章的，政府集中采购机构应当一次性告知供应商需补正的内容和补正期限。</w:t>
      </w:r>
    </w:p>
    <w:p>
      <w:pPr>
        <w:ind w:firstLine="420" w:firstLineChars="200"/>
        <w:rPr>
          <w:rFonts w:ascii="宋体" w:hAnsi="宋体"/>
          <w:szCs w:val="21"/>
        </w:rPr>
      </w:pPr>
      <w:r>
        <w:rPr>
          <w:rFonts w:hint="eastAsia" w:ascii="宋体" w:hAnsi="宋体"/>
          <w:szCs w:val="21"/>
        </w:rPr>
        <w:t>供应商提交的质疑存在下列情形之一的，不予受理：</w:t>
      </w:r>
    </w:p>
    <w:p>
      <w:pPr>
        <w:ind w:firstLine="420" w:firstLineChars="200"/>
        <w:rPr>
          <w:rFonts w:ascii="宋体" w:hAnsi="宋体"/>
          <w:szCs w:val="21"/>
        </w:rPr>
      </w:pPr>
      <w:r>
        <w:rPr>
          <w:rFonts w:hint="eastAsia" w:ascii="宋体" w:hAnsi="宋体"/>
          <w:szCs w:val="21"/>
        </w:rPr>
        <w:t>（1）质疑主体不满足要求的；</w:t>
      </w:r>
    </w:p>
    <w:p>
      <w:pPr>
        <w:ind w:firstLine="420" w:firstLineChars="200"/>
        <w:rPr>
          <w:rFonts w:ascii="宋体" w:hAnsi="宋体"/>
          <w:szCs w:val="21"/>
        </w:rPr>
      </w:pPr>
      <w:r>
        <w:rPr>
          <w:rFonts w:hint="eastAsia" w:ascii="宋体" w:hAnsi="宋体"/>
          <w:szCs w:val="21"/>
        </w:rPr>
        <w:t>（2）供应商自身权益未受到损害的；</w:t>
      </w:r>
    </w:p>
    <w:p>
      <w:pPr>
        <w:ind w:firstLine="420" w:firstLineChars="200"/>
        <w:rPr>
          <w:rFonts w:ascii="宋体" w:hAnsi="宋体"/>
          <w:szCs w:val="21"/>
        </w:rPr>
      </w:pPr>
      <w:r>
        <w:rPr>
          <w:rFonts w:hint="eastAsia" w:ascii="宋体" w:hAnsi="宋体"/>
          <w:szCs w:val="21"/>
        </w:rPr>
        <w:t>（3）供应商未在法定质疑期限内提出质疑的；</w:t>
      </w:r>
    </w:p>
    <w:p>
      <w:pPr>
        <w:ind w:firstLine="420" w:firstLineChars="200"/>
        <w:rPr>
          <w:rFonts w:ascii="宋体" w:hAnsi="宋体"/>
          <w:szCs w:val="21"/>
        </w:rPr>
      </w:pPr>
      <w:r>
        <w:rPr>
          <w:rFonts w:hint="eastAsia" w:ascii="宋体" w:hAnsi="宋体"/>
          <w:szCs w:val="21"/>
        </w:rPr>
        <w:t>（4）质疑材料不全或者未按要求签字或者盖章的情况下，要求补正后，逾期未补正或者补正后仍不符合规定的；</w:t>
      </w:r>
    </w:p>
    <w:p>
      <w:pPr>
        <w:ind w:firstLine="420" w:firstLineChars="200"/>
        <w:rPr>
          <w:rFonts w:ascii="宋体" w:hAnsi="宋体"/>
          <w:szCs w:val="21"/>
        </w:rPr>
      </w:pPr>
      <w:r>
        <w:rPr>
          <w:rFonts w:hint="eastAsia" w:ascii="宋体" w:hAnsi="宋体"/>
          <w:szCs w:val="21"/>
        </w:rPr>
        <w:t>（5）其他不符合受理条件情形的。</w:t>
      </w:r>
    </w:p>
    <w:p>
      <w:pPr>
        <w:ind w:firstLine="420" w:firstLineChars="200"/>
        <w:rPr>
          <w:rFonts w:ascii="宋体" w:hAnsi="宋体"/>
          <w:szCs w:val="21"/>
        </w:rPr>
      </w:pPr>
      <w:r>
        <w:rPr>
          <w:rFonts w:hint="eastAsia" w:ascii="宋体" w:hAnsi="宋体"/>
          <w:szCs w:val="21"/>
        </w:rPr>
        <w:t>质疑事项不予受理的，政府集中采购机构应当向供应商出具不符合质疑条件告知书。</w:t>
      </w:r>
    </w:p>
    <w:p>
      <w:pPr>
        <w:rPr>
          <w:rFonts w:ascii="宋体" w:hAnsi="宋体"/>
          <w:szCs w:val="21"/>
        </w:rPr>
      </w:pPr>
      <w:r>
        <w:rPr>
          <w:rFonts w:hint="eastAsia" w:ascii="宋体" w:hAnsi="宋体"/>
          <w:szCs w:val="21"/>
        </w:rPr>
        <w:t xml:space="preserve">  52.7质疑答复时限</w:t>
      </w:r>
    </w:p>
    <w:p>
      <w:pPr>
        <w:rPr>
          <w:rFonts w:ascii="宋体" w:hAnsi="宋体"/>
          <w:szCs w:val="21"/>
        </w:rPr>
      </w:pPr>
      <w:r>
        <w:rPr>
          <w:rFonts w:hint="eastAsia" w:ascii="宋体" w:hAnsi="宋体"/>
          <w:szCs w:val="21"/>
        </w:rPr>
        <w:t xml:space="preserve">    自收文之日起七个工作日内。</w:t>
      </w:r>
    </w:p>
    <w:p>
      <w:pPr>
        <w:rPr>
          <w:rFonts w:ascii="宋体" w:hAnsi="宋体"/>
          <w:szCs w:val="21"/>
        </w:rPr>
      </w:pPr>
      <w:r>
        <w:rPr>
          <w:rFonts w:hint="eastAsia" w:ascii="宋体" w:hAnsi="宋体"/>
          <w:szCs w:val="21"/>
        </w:rPr>
        <w:t xml:space="preserve">    52.8投诉</w:t>
      </w:r>
    </w:p>
    <w:p>
      <w:pPr>
        <w:rPr>
          <w:rFonts w:ascii="宋体" w:hAnsi="宋体"/>
          <w:szCs w:val="21"/>
        </w:rPr>
      </w:pPr>
      <w:r>
        <w:rPr>
          <w:rFonts w:hint="eastAsia" w:ascii="宋体" w:hAnsi="宋体"/>
          <w:szCs w:val="21"/>
        </w:rPr>
        <w:t xml:space="preserve">    对质疑答复不满意或者未在规定时间内答复的，提出质疑的供应商可以在答复期满后15个工作日内向本项目预算主管单位投诉。</w:t>
      </w:r>
    </w:p>
    <w:p>
      <w:pPr>
        <w:rPr>
          <w:rFonts w:ascii="黑体" w:hAnsi="宋体" w:eastAsia="黑体"/>
          <w:sz w:val="24"/>
        </w:rPr>
      </w:pPr>
      <w:r>
        <w:rPr>
          <w:rFonts w:hint="eastAsia" w:ascii="黑体" w:hAnsi="宋体" w:eastAsia="黑体"/>
          <w:sz w:val="24"/>
        </w:rPr>
        <w:t>53. 质疑后续处理</w:t>
      </w:r>
    </w:p>
    <w:p>
      <w:pPr>
        <w:rPr>
          <w:rFonts w:ascii="宋体" w:hAnsi="宋体"/>
          <w:szCs w:val="21"/>
        </w:rPr>
      </w:pPr>
      <w:r>
        <w:rPr>
          <w:rFonts w:hint="eastAsia" w:ascii="宋体" w:hAnsi="宋体"/>
          <w:szCs w:val="21"/>
        </w:rPr>
        <w:t xml:space="preserve">    53.1供应商质疑不成立，或者成立但未对中标、成交结果构成影响的，继续开展采购活动。</w:t>
      </w:r>
    </w:p>
    <w:p>
      <w:pPr>
        <w:jc w:val="center"/>
      </w:pPr>
      <w:r>
        <w:rPr>
          <w:rFonts w:hint="eastAsia" w:ascii="宋体" w:hAnsi="宋体"/>
          <w:szCs w:val="21"/>
        </w:rPr>
        <w:t xml:space="preserve">    53.2供应商质疑成立且影响或者可能影响中标、成交结果的，按照下列情况处理：（1）对采购文件提出的质疑，依法通过澄清或者修改可以继续开展采购活动的，澄清或者修改采购文件后继续开展采购活动；否则应当修改采购文件后重新开展采购活动。（2）对采购过程、中标或者成交结果提出的质疑，合格供应商符合法定数量时，可以从合格的中标或者成交候选人中另行确定中标、成交供应商的，应当依法另行确定中标、成交供应商；否则应当重新开展采购活动。</w:t>
      </w:r>
      <w:r>
        <w:t>---- END ----</w:t>
      </w:r>
    </w:p>
    <w:p>
      <w:pPr>
        <w:jc w:val="center"/>
        <w:rPr>
          <w:rFonts w:ascii="Times New Roman" w:hAnsi="Times New Roman" w:eastAsia="宋体" w:cs="Times New Roman"/>
          <w:szCs w:val="24"/>
        </w:rPr>
      </w:pPr>
      <w:r>
        <w:rPr>
          <w:rFonts w:ascii="Times New Roman" w:hAnsi="Times New Roman" w:eastAsia="宋体" w:cs="Times New Roman"/>
          <w:szCs w:val="24"/>
        </w:rPr>
        <w:t>---- END ----</w:t>
      </w:r>
      <w:bookmarkEnd w:id="26"/>
    </w:p>
    <w:p>
      <w:pPr>
        <w:rPr>
          <w:b/>
          <w:color w:val="FF0000"/>
          <w:sz w:val="52"/>
          <w:szCs w:val="52"/>
        </w:rPr>
      </w:pPr>
    </w:p>
    <w:p>
      <w:pPr>
        <w:rPr>
          <w:b/>
          <w:color w:val="FF0000"/>
          <w:sz w:val="52"/>
          <w:szCs w:val="52"/>
        </w:rPr>
      </w:pPr>
    </w:p>
    <w:sectPr>
      <w:headerReference r:id="rId5" w:type="first"/>
      <w:footerReference r:id="rId8" w:type="first"/>
      <w:headerReference r:id="rId3" w:type="default"/>
      <w:footerReference r:id="rId6" w:type="default"/>
      <w:headerReference r:id="rId4" w:type="even"/>
      <w:footerReference r:id="rId7" w:type="even"/>
      <w:pgSz w:w="11906" w:h="16838"/>
      <w:pgMar w:top="1440" w:right="1417" w:bottom="1440" w:left="1417"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Arial">
    <w:panose1 w:val="020B0604020202020204"/>
    <w:charset w:val="00"/>
    <w:family w:val="swiss"/>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10" w:usb3="00000000" w:csb0="0004009F" w:csb1="00000000"/>
  </w:font>
  <w:font w:name="ˎ̥">
    <w:altName w:val="Times New Roman"/>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8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22060"/>
    </w:sdtPr>
    <w:sdtContent>
      <w:p>
        <w:pPr>
          <w:pStyle w:val="12"/>
          <w:jc w:val="center"/>
        </w:pPr>
        <w:r>
          <w:fldChar w:fldCharType="begin"/>
        </w:r>
        <w:r>
          <w:instrText xml:space="preserve"> PAGE   \* MERGEFORMAT </w:instrText>
        </w:r>
        <w:r>
          <w:fldChar w:fldCharType="separate"/>
        </w:r>
        <w:r>
          <w:rPr>
            <w:lang w:val="zh-CN"/>
          </w:rPr>
          <w:t>55</w:t>
        </w:r>
        <w:r>
          <w:rPr>
            <w:lang w:val="zh-CN"/>
          </w:rPr>
          <w:fldChar w:fldCharType="end"/>
        </w:r>
      </w:p>
    </w:sdtContent>
  </w:sdt>
  <w:p>
    <w:pPr>
      <w:pStyle w:val="12"/>
      <w:spacing w:after="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spacing w:after="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spacing w:after="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spacing w:after="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spacing w:after="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spacing w:after="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9F81FD3"/>
    <w:multiLevelType w:val="multilevel"/>
    <w:tmpl w:val="09F81FD3"/>
    <w:lvl w:ilvl="0" w:tentative="0">
      <w:start w:val="1"/>
      <w:numFmt w:val="japaneseCounting"/>
      <w:lvlText w:val="第%1章"/>
      <w:lvlJc w:val="left"/>
      <w:pPr>
        <w:tabs>
          <w:tab w:val="left" w:pos="720"/>
        </w:tabs>
        <w:ind w:left="720" w:hanging="72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0CB11FD7"/>
    <w:multiLevelType w:val="multilevel"/>
    <w:tmpl w:val="0CB11FD7"/>
    <w:lvl w:ilvl="0" w:tentative="0">
      <w:start w:val="1"/>
      <w:numFmt w:val="decimal"/>
      <w:lvlText w:val="%1)"/>
      <w:lvlJc w:val="left"/>
      <w:pPr>
        <w:tabs>
          <w:tab w:val="left" w:pos="1470"/>
        </w:tabs>
        <w:ind w:left="1470" w:hanging="420"/>
      </w:pPr>
      <w:rPr>
        <w:rFonts w:hint="eastAsia"/>
        <w:b w:val="0"/>
      </w:rPr>
    </w:lvl>
    <w:lvl w:ilvl="1" w:tentative="0">
      <w:start w:val="4"/>
      <w:numFmt w:val="japaneseCounting"/>
      <w:lvlText w:val="%2、"/>
      <w:lvlJc w:val="left"/>
      <w:pPr>
        <w:tabs>
          <w:tab w:val="left" w:pos="1140"/>
        </w:tabs>
        <w:ind w:left="1140" w:hanging="720"/>
      </w:pPr>
      <w:rPr>
        <w:rFonts w:hint="default"/>
      </w:rPr>
    </w:lvl>
    <w:lvl w:ilvl="2" w:tentative="0">
      <w:start w:val="1"/>
      <w:numFmt w:val="decimal"/>
      <w:lvlText w:val="%3、"/>
      <w:lvlJc w:val="left"/>
      <w:pPr>
        <w:tabs>
          <w:tab w:val="left" w:pos="360"/>
        </w:tabs>
        <w:ind w:left="360" w:hanging="360"/>
      </w:pPr>
      <w:rPr>
        <w:rFonts w:hint="default"/>
      </w:rPr>
    </w:lvl>
    <w:lvl w:ilvl="3" w:tentative="0">
      <w:start w:val="6"/>
      <w:numFmt w:val="japaneseCounting"/>
      <w:lvlText w:val="第%4章"/>
      <w:lvlJc w:val="left"/>
      <w:pPr>
        <w:tabs>
          <w:tab w:val="left" w:pos="2400"/>
        </w:tabs>
        <w:ind w:left="2400" w:hanging="1140"/>
      </w:pPr>
      <w:rPr>
        <w:rFonts w:hint="default"/>
      </w:r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34416252"/>
    <w:multiLevelType w:val="multilevel"/>
    <w:tmpl w:val="34416252"/>
    <w:lvl w:ilvl="0" w:tentative="0">
      <w:start w:val="1"/>
      <w:numFmt w:val="japaneseCounting"/>
      <w:lvlText w:val="第%1章"/>
      <w:lvlJc w:val="left"/>
      <w:pPr>
        <w:ind w:left="1080" w:hanging="108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5EC27779"/>
    <w:multiLevelType w:val="multilevel"/>
    <w:tmpl w:val="5EC27779"/>
    <w:lvl w:ilvl="0" w:tentative="0">
      <w:start w:val="1"/>
      <w:numFmt w:val="decimal"/>
      <w:lvlText w:val="%1)"/>
      <w:lvlJc w:val="left"/>
      <w:pPr>
        <w:tabs>
          <w:tab w:val="left" w:pos="1470"/>
        </w:tabs>
        <w:ind w:left="1470" w:hanging="420"/>
      </w:pPr>
      <w:rPr>
        <w:rFonts w:hint="eastAsia" w:asciiTheme="majorEastAsia" w:hAnsiTheme="majorEastAsia" w:eastAsiaTheme="majorEastAsia"/>
        <w:sz w:val="28"/>
        <w:szCs w:val="28"/>
      </w:rPr>
    </w:lvl>
    <w:lvl w:ilvl="1" w:tentative="0">
      <w:start w:val="4"/>
      <w:numFmt w:val="japaneseCounting"/>
      <w:lvlText w:val="%2、"/>
      <w:lvlJc w:val="left"/>
      <w:pPr>
        <w:tabs>
          <w:tab w:val="left" w:pos="1140"/>
        </w:tabs>
        <w:ind w:left="1140" w:hanging="720"/>
      </w:pPr>
      <w:rPr>
        <w:rFonts w:hint="default"/>
      </w:rPr>
    </w:lvl>
    <w:lvl w:ilvl="2" w:tentative="0">
      <w:start w:val="1"/>
      <w:numFmt w:val="decimal"/>
      <w:lvlText w:val="%3、"/>
      <w:lvlJc w:val="left"/>
      <w:pPr>
        <w:tabs>
          <w:tab w:val="left" w:pos="360"/>
        </w:tabs>
        <w:ind w:left="360" w:hanging="360"/>
      </w:pPr>
      <w:rPr>
        <w:rFonts w:hint="default"/>
      </w:rPr>
    </w:lvl>
    <w:lvl w:ilvl="3" w:tentative="0">
      <w:start w:val="6"/>
      <w:numFmt w:val="japaneseCounting"/>
      <w:lvlText w:val="第%4章"/>
      <w:lvlJc w:val="left"/>
      <w:pPr>
        <w:tabs>
          <w:tab w:val="left" w:pos="2400"/>
        </w:tabs>
        <w:ind w:left="2400" w:hanging="1140"/>
      </w:pPr>
      <w:rPr>
        <w:rFonts w:hint="default"/>
      </w:r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revisionView w:markup="0"/>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NjQ4OTIxNjlhMTQwOTVmYTNhMDgwMjM1NTMwZjgxNTYifQ=="/>
  </w:docVars>
  <w:rsids>
    <w:rsidRoot w:val="002B296E"/>
    <w:rsid w:val="00002E60"/>
    <w:rsid w:val="000048FF"/>
    <w:rsid w:val="00004FA5"/>
    <w:rsid w:val="0000723B"/>
    <w:rsid w:val="000114D0"/>
    <w:rsid w:val="00012263"/>
    <w:rsid w:val="00015C20"/>
    <w:rsid w:val="000165A0"/>
    <w:rsid w:val="00017ECC"/>
    <w:rsid w:val="00024DCF"/>
    <w:rsid w:val="00026B1C"/>
    <w:rsid w:val="0002788F"/>
    <w:rsid w:val="00027E40"/>
    <w:rsid w:val="00030854"/>
    <w:rsid w:val="00030B9F"/>
    <w:rsid w:val="000325CA"/>
    <w:rsid w:val="0003474D"/>
    <w:rsid w:val="00035243"/>
    <w:rsid w:val="000354DF"/>
    <w:rsid w:val="000413CE"/>
    <w:rsid w:val="00041760"/>
    <w:rsid w:val="00046AE3"/>
    <w:rsid w:val="00047161"/>
    <w:rsid w:val="00047CFA"/>
    <w:rsid w:val="00047F90"/>
    <w:rsid w:val="000509B8"/>
    <w:rsid w:val="000549AF"/>
    <w:rsid w:val="00055C90"/>
    <w:rsid w:val="000572C4"/>
    <w:rsid w:val="0008028B"/>
    <w:rsid w:val="00082568"/>
    <w:rsid w:val="000839B0"/>
    <w:rsid w:val="00083BC2"/>
    <w:rsid w:val="00083FD9"/>
    <w:rsid w:val="000844B8"/>
    <w:rsid w:val="0008773C"/>
    <w:rsid w:val="0009130D"/>
    <w:rsid w:val="00091343"/>
    <w:rsid w:val="00094FCC"/>
    <w:rsid w:val="000A7A9D"/>
    <w:rsid w:val="000B119C"/>
    <w:rsid w:val="000B5D94"/>
    <w:rsid w:val="000B6946"/>
    <w:rsid w:val="000C0D21"/>
    <w:rsid w:val="000C0E1A"/>
    <w:rsid w:val="000C106C"/>
    <w:rsid w:val="000C4236"/>
    <w:rsid w:val="000D406E"/>
    <w:rsid w:val="000D4A50"/>
    <w:rsid w:val="000D4B12"/>
    <w:rsid w:val="000D6122"/>
    <w:rsid w:val="000E13A3"/>
    <w:rsid w:val="000F1328"/>
    <w:rsid w:val="000F34B2"/>
    <w:rsid w:val="000F4368"/>
    <w:rsid w:val="000F50E1"/>
    <w:rsid w:val="000F6FF0"/>
    <w:rsid w:val="001031B0"/>
    <w:rsid w:val="0010408D"/>
    <w:rsid w:val="001053A0"/>
    <w:rsid w:val="001063E2"/>
    <w:rsid w:val="00110CBD"/>
    <w:rsid w:val="00111349"/>
    <w:rsid w:val="00112D2A"/>
    <w:rsid w:val="00113412"/>
    <w:rsid w:val="00114DD8"/>
    <w:rsid w:val="00115E40"/>
    <w:rsid w:val="00115FE9"/>
    <w:rsid w:val="00116C4B"/>
    <w:rsid w:val="00121E98"/>
    <w:rsid w:val="00122F53"/>
    <w:rsid w:val="00123D4F"/>
    <w:rsid w:val="00126CD8"/>
    <w:rsid w:val="00130EED"/>
    <w:rsid w:val="001318CF"/>
    <w:rsid w:val="0013313E"/>
    <w:rsid w:val="00135D16"/>
    <w:rsid w:val="001405FA"/>
    <w:rsid w:val="001423E8"/>
    <w:rsid w:val="00142726"/>
    <w:rsid w:val="00143A07"/>
    <w:rsid w:val="0014406D"/>
    <w:rsid w:val="00147326"/>
    <w:rsid w:val="001477E0"/>
    <w:rsid w:val="001478A4"/>
    <w:rsid w:val="0015184C"/>
    <w:rsid w:val="00152E85"/>
    <w:rsid w:val="00154E87"/>
    <w:rsid w:val="00155971"/>
    <w:rsid w:val="001559D5"/>
    <w:rsid w:val="00156956"/>
    <w:rsid w:val="00170A76"/>
    <w:rsid w:val="00171482"/>
    <w:rsid w:val="001776D1"/>
    <w:rsid w:val="00184554"/>
    <w:rsid w:val="00184F4C"/>
    <w:rsid w:val="001872EC"/>
    <w:rsid w:val="00190D4E"/>
    <w:rsid w:val="00191DBC"/>
    <w:rsid w:val="00192AD1"/>
    <w:rsid w:val="00195B08"/>
    <w:rsid w:val="00196ADD"/>
    <w:rsid w:val="001A4CD3"/>
    <w:rsid w:val="001A5C09"/>
    <w:rsid w:val="001A6041"/>
    <w:rsid w:val="001B0953"/>
    <w:rsid w:val="001B1074"/>
    <w:rsid w:val="001B150F"/>
    <w:rsid w:val="001B51BE"/>
    <w:rsid w:val="001B5B31"/>
    <w:rsid w:val="001B77F3"/>
    <w:rsid w:val="001B7F44"/>
    <w:rsid w:val="001C09D9"/>
    <w:rsid w:val="001C2014"/>
    <w:rsid w:val="001C2B16"/>
    <w:rsid w:val="001C3631"/>
    <w:rsid w:val="001D0EB9"/>
    <w:rsid w:val="001D33A2"/>
    <w:rsid w:val="001E10E8"/>
    <w:rsid w:val="001E12CE"/>
    <w:rsid w:val="001E18EF"/>
    <w:rsid w:val="001E2BD6"/>
    <w:rsid w:val="001E76F0"/>
    <w:rsid w:val="001E7CA2"/>
    <w:rsid w:val="001E7E39"/>
    <w:rsid w:val="001F0086"/>
    <w:rsid w:val="001F0952"/>
    <w:rsid w:val="001F2FF4"/>
    <w:rsid w:val="001F3848"/>
    <w:rsid w:val="001F3DC3"/>
    <w:rsid w:val="001F587F"/>
    <w:rsid w:val="001F6634"/>
    <w:rsid w:val="0020017A"/>
    <w:rsid w:val="00201302"/>
    <w:rsid w:val="002051F9"/>
    <w:rsid w:val="002053F8"/>
    <w:rsid w:val="00205AF2"/>
    <w:rsid w:val="0020663F"/>
    <w:rsid w:val="00207A91"/>
    <w:rsid w:val="00210E25"/>
    <w:rsid w:val="00212161"/>
    <w:rsid w:val="0021479B"/>
    <w:rsid w:val="002177DC"/>
    <w:rsid w:val="0022303D"/>
    <w:rsid w:val="00223EEB"/>
    <w:rsid w:val="002244C7"/>
    <w:rsid w:val="00225DED"/>
    <w:rsid w:val="002278BD"/>
    <w:rsid w:val="00227BC5"/>
    <w:rsid w:val="00231E55"/>
    <w:rsid w:val="00232987"/>
    <w:rsid w:val="0023517A"/>
    <w:rsid w:val="002378E5"/>
    <w:rsid w:val="0024137C"/>
    <w:rsid w:val="002425D6"/>
    <w:rsid w:val="00244C00"/>
    <w:rsid w:val="00246372"/>
    <w:rsid w:val="002505A6"/>
    <w:rsid w:val="0025158C"/>
    <w:rsid w:val="00254904"/>
    <w:rsid w:val="00262AF1"/>
    <w:rsid w:val="00263E6E"/>
    <w:rsid w:val="0026418F"/>
    <w:rsid w:val="0026450A"/>
    <w:rsid w:val="00267A80"/>
    <w:rsid w:val="002709A8"/>
    <w:rsid w:val="00273346"/>
    <w:rsid w:val="002746A1"/>
    <w:rsid w:val="00276D6D"/>
    <w:rsid w:val="002805D4"/>
    <w:rsid w:val="00282867"/>
    <w:rsid w:val="00284C24"/>
    <w:rsid w:val="00285DE2"/>
    <w:rsid w:val="002933B7"/>
    <w:rsid w:val="00293B10"/>
    <w:rsid w:val="002942A3"/>
    <w:rsid w:val="0029795C"/>
    <w:rsid w:val="002A0ED3"/>
    <w:rsid w:val="002A29E5"/>
    <w:rsid w:val="002A758C"/>
    <w:rsid w:val="002B0948"/>
    <w:rsid w:val="002B296E"/>
    <w:rsid w:val="002B5C22"/>
    <w:rsid w:val="002B6F9C"/>
    <w:rsid w:val="002C3F0A"/>
    <w:rsid w:val="002C3FC4"/>
    <w:rsid w:val="002C500F"/>
    <w:rsid w:val="002D2996"/>
    <w:rsid w:val="002D4DB4"/>
    <w:rsid w:val="002D5EB6"/>
    <w:rsid w:val="002D67D0"/>
    <w:rsid w:val="002E1005"/>
    <w:rsid w:val="002E6F35"/>
    <w:rsid w:val="002F019C"/>
    <w:rsid w:val="002F218D"/>
    <w:rsid w:val="002F3F2C"/>
    <w:rsid w:val="002F4FC9"/>
    <w:rsid w:val="002F7BA0"/>
    <w:rsid w:val="00305131"/>
    <w:rsid w:val="003075D2"/>
    <w:rsid w:val="00307991"/>
    <w:rsid w:val="00311E94"/>
    <w:rsid w:val="00315035"/>
    <w:rsid w:val="0031695C"/>
    <w:rsid w:val="00317044"/>
    <w:rsid w:val="00321622"/>
    <w:rsid w:val="0032311B"/>
    <w:rsid w:val="00323813"/>
    <w:rsid w:val="00324CB2"/>
    <w:rsid w:val="00331FE7"/>
    <w:rsid w:val="00334D55"/>
    <w:rsid w:val="00335A76"/>
    <w:rsid w:val="00335EC8"/>
    <w:rsid w:val="00340524"/>
    <w:rsid w:val="00342876"/>
    <w:rsid w:val="0034457F"/>
    <w:rsid w:val="00345849"/>
    <w:rsid w:val="00347ADA"/>
    <w:rsid w:val="003553CD"/>
    <w:rsid w:val="00356426"/>
    <w:rsid w:val="00356A28"/>
    <w:rsid w:val="00362CA7"/>
    <w:rsid w:val="0036622C"/>
    <w:rsid w:val="003706DD"/>
    <w:rsid w:val="0037109F"/>
    <w:rsid w:val="00372805"/>
    <w:rsid w:val="00372E27"/>
    <w:rsid w:val="00373CC6"/>
    <w:rsid w:val="00376180"/>
    <w:rsid w:val="00376EF5"/>
    <w:rsid w:val="003802A7"/>
    <w:rsid w:val="003811DD"/>
    <w:rsid w:val="00384539"/>
    <w:rsid w:val="00386271"/>
    <w:rsid w:val="003876BD"/>
    <w:rsid w:val="00387C79"/>
    <w:rsid w:val="00391E72"/>
    <w:rsid w:val="003936FB"/>
    <w:rsid w:val="003938DE"/>
    <w:rsid w:val="00395B93"/>
    <w:rsid w:val="003977F7"/>
    <w:rsid w:val="003A283F"/>
    <w:rsid w:val="003A5619"/>
    <w:rsid w:val="003A6825"/>
    <w:rsid w:val="003B1124"/>
    <w:rsid w:val="003B2CDB"/>
    <w:rsid w:val="003B2D06"/>
    <w:rsid w:val="003B3F59"/>
    <w:rsid w:val="003C7B60"/>
    <w:rsid w:val="003D016D"/>
    <w:rsid w:val="003E1A20"/>
    <w:rsid w:val="003E3A5C"/>
    <w:rsid w:val="003E3CEC"/>
    <w:rsid w:val="003F0736"/>
    <w:rsid w:val="003F0EBF"/>
    <w:rsid w:val="003F1B3F"/>
    <w:rsid w:val="003F385B"/>
    <w:rsid w:val="003F3E0E"/>
    <w:rsid w:val="003F3FB9"/>
    <w:rsid w:val="003F5EFA"/>
    <w:rsid w:val="003F5F84"/>
    <w:rsid w:val="003F6980"/>
    <w:rsid w:val="003F6F74"/>
    <w:rsid w:val="0040232B"/>
    <w:rsid w:val="00411AD4"/>
    <w:rsid w:val="004155CD"/>
    <w:rsid w:val="0041767A"/>
    <w:rsid w:val="004208A5"/>
    <w:rsid w:val="00420DE3"/>
    <w:rsid w:val="0042513B"/>
    <w:rsid w:val="004338D4"/>
    <w:rsid w:val="004340BA"/>
    <w:rsid w:val="00434434"/>
    <w:rsid w:val="00434C62"/>
    <w:rsid w:val="004370D7"/>
    <w:rsid w:val="00440482"/>
    <w:rsid w:val="004437AE"/>
    <w:rsid w:val="00444582"/>
    <w:rsid w:val="00446748"/>
    <w:rsid w:val="0045104F"/>
    <w:rsid w:val="004515EE"/>
    <w:rsid w:val="004519A1"/>
    <w:rsid w:val="00451D23"/>
    <w:rsid w:val="00460ABA"/>
    <w:rsid w:val="00460E5B"/>
    <w:rsid w:val="00463379"/>
    <w:rsid w:val="0046375D"/>
    <w:rsid w:val="00463D37"/>
    <w:rsid w:val="00471274"/>
    <w:rsid w:val="00471E81"/>
    <w:rsid w:val="00473EA5"/>
    <w:rsid w:val="0047463B"/>
    <w:rsid w:val="004747A0"/>
    <w:rsid w:val="00480F0D"/>
    <w:rsid w:val="00482482"/>
    <w:rsid w:val="00487E35"/>
    <w:rsid w:val="00492CAF"/>
    <w:rsid w:val="00493F5B"/>
    <w:rsid w:val="004A019E"/>
    <w:rsid w:val="004A19DD"/>
    <w:rsid w:val="004A20E5"/>
    <w:rsid w:val="004B294D"/>
    <w:rsid w:val="004B30D9"/>
    <w:rsid w:val="004B3548"/>
    <w:rsid w:val="004B3730"/>
    <w:rsid w:val="004B5FA8"/>
    <w:rsid w:val="004B6143"/>
    <w:rsid w:val="004C214C"/>
    <w:rsid w:val="004C2208"/>
    <w:rsid w:val="004C3ADD"/>
    <w:rsid w:val="004C3E0E"/>
    <w:rsid w:val="004C44EC"/>
    <w:rsid w:val="004D1052"/>
    <w:rsid w:val="004D7F2E"/>
    <w:rsid w:val="004E00DC"/>
    <w:rsid w:val="004E0362"/>
    <w:rsid w:val="004E3FBD"/>
    <w:rsid w:val="004E5F98"/>
    <w:rsid w:val="004E714A"/>
    <w:rsid w:val="004E7B5C"/>
    <w:rsid w:val="004F29F5"/>
    <w:rsid w:val="004F7062"/>
    <w:rsid w:val="005008C5"/>
    <w:rsid w:val="00500956"/>
    <w:rsid w:val="00501787"/>
    <w:rsid w:val="00501B5F"/>
    <w:rsid w:val="005038E9"/>
    <w:rsid w:val="00504893"/>
    <w:rsid w:val="00506897"/>
    <w:rsid w:val="005129E6"/>
    <w:rsid w:val="00513456"/>
    <w:rsid w:val="0051395D"/>
    <w:rsid w:val="00516147"/>
    <w:rsid w:val="0052007E"/>
    <w:rsid w:val="005252BE"/>
    <w:rsid w:val="00526A79"/>
    <w:rsid w:val="00532047"/>
    <w:rsid w:val="00532FBA"/>
    <w:rsid w:val="00535134"/>
    <w:rsid w:val="00536A0C"/>
    <w:rsid w:val="00537AA3"/>
    <w:rsid w:val="00537F1E"/>
    <w:rsid w:val="00540B12"/>
    <w:rsid w:val="00542681"/>
    <w:rsid w:val="005436FB"/>
    <w:rsid w:val="00543EBF"/>
    <w:rsid w:val="00545710"/>
    <w:rsid w:val="00546A86"/>
    <w:rsid w:val="00546E60"/>
    <w:rsid w:val="00552DE9"/>
    <w:rsid w:val="00553482"/>
    <w:rsid w:val="005537A7"/>
    <w:rsid w:val="005568B0"/>
    <w:rsid w:val="00557C1B"/>
    <w:rsid w:val="00563968"/>
    <w:rsid w:val="005668BA"/>
    <w:rsid w:val="00566A6A"/>
    <w:rsid w:val="00575109"/>
    <w:rsid w:val="005755D6"/>
    <w:rsid w:val="00576EAB"/>
    <w:rsid w:val="00581EE1"/>
    <w:rsid w:val="00582807"/>
    <w:rsid w:val="00582ECC"/>
    <w:rsid w:val="00582FA7"/>
    <w:rsid w:val="0058780A"/>
    <w:rsid w:val="00590EB6"/>
    <w:rsid w:val="00591BAF"/>
    <w:rsid w:val="00594D4B"/>
    <w:rsid w:val="00596152"/>
    <w:rsid w:val="005965FD"/>
    <w:rsid w:val="005A482C"/>
    <w:rsid w:val="005A6D72"/>
    <w:rsid w:val="005B1875"/>
    <w:rsid w:val="005B28C9"/>
    <w:rsid w:val="005B3AB8"/>
    <w:rsid w:val="005B749E"/>
    <w:rsid w:val="005B7B25"/>
    <w:rsid w:val="005C09EC"/>
    <w:rsid w:val="005C26DC"/>
    <w:rsid w:val="005C4B92"/>
    <w:rsid w:val="005C5083"/>
    <w:rsid w:val="005C5333"/>
    <w:rsid w:val="005C5ED0"/>
    <w:rsid w:val="005D1B8A"/>
    <w:rsid w:val="005D5EB2"/>
    <w:rsid w:val="005E24CF"/>
    <w:rsid w:val="005E27B2"/>
    <w:rsid w:val="005E513F"/>
    <w:rsid w:val="005E6307"/>
    <w:rsid w:val="005E7861"/>
    <w:rsid w:val="005F0ACD"/>
    <w:rsid w:val="005F0B55"/>
    <w:rsid w:val="005F1D5B"/>
    <w:rsid w:val="005F378B"/>
    <w:rsid w:val="005F4CF2"/>
    <w:rsid w:val="00603B6D"/>
    <w:rsid w:val="00604DC0"/>
    <w:rsid w:val="00607011"/>
    <w:rsid w:val="006137B4"/>
    <w:rsid w:val="00613CE9"/>
    <w:rsid w:val="00622334"/>
    <w:rsid w:val="006279EE"/>
    <w:rsid w:val="0063107F"/>
    <w:rsid w:val="00631EC8"/>
    <w:rsid w:val="006322DC"/>
    <w:rsid w:val="006331E8"/>
    <w:rsid w:val="00633C10"/>
    <w:rsid w:val="00634CA8"/>
    <w:rsid w:val="00634D11"/>
    <w:rsid w:val="006357F8"/>
    <w:rsid w:val="00636B59"/>
    <w:rsid w:val="0063769B"/>
    <w:rsid w:val="00637C05"/>
    <w:rsid w:val="006416BE"/>
    <w:rsid w:val="006449CE"/>
    <w:rsid w:val="00650F5B"/>
    <w:rsid w:val="006529BC"/>
    <w:rsid w:val="00652E82"/>
    <w:rsid w:val="006530D0"/>
    <w:rsid w:val="0065516B"/>
    <w:rsid w:val="0066606D"/>
    <w:rsid w:val="00666B5D"/>
    <w:rsid w:val="0067242A"/>
    <w:rsid w:val="00673CED"/>
    <w:rsid w:val="00674722"/>
    <w:rsid w:val="006749FE"/>
    <w:rsid w:val="006801A9"/>
    <w:rsid w:val="00681D73"/>
    <w:rsid w:val="006821DB"/>
    <w:rsid w:val="00684C4D"/>
    <w:rsid w:val="00691817"/>
    <w:rsid w:val="0069374B"/>
    <w:rsid w:val="00696FD7"/>
    <w:rsid w:val="006A5F3A"/>
    <w:rsid w:val="006A6F0A"/>
    <w:rsid w:val="006B00E1"/>
    <w:rsid w:val="006B1578"/>
    <w:rsid w:val="006B6920"/>
    <w:rsid w:val="006B6BCB"/>
    <w:rsid w:val="006C01D1"/>
    <w:rsid w:val="006C13B8"/>
    <w:rsid w:val="006C5B1E"/>
    <w:rsid w:val="006C5C51"/>
    <w:rsid w:val="006C5CD4"/>
    <w:rsid w:val="006D4663"/>
    <w:rsid w:val="006D5BEC"/>
    <w:rsid w:val="006D6273"/>
    <w:rsid w:val="006F3A9D"/>
    <w:rsid w:val="006F6AAD"/>
    <w:rsid w:val="006F77AA"/>
    <w:rsid w:val="00701EE1"/>
    <w:rsid w:val="00702DD5"/>
    <w:rsid w:val="007037E0"/>
    <w:rsid w:val="00715EA0"/>
    <w:rsid w:val="00716DDE"/>
    <w:rsid w:val="00721211"/>
    <w:rsid w:val="0072143A"/>
    <w:rsid w:val="00722517"/>
    <w:rsid w:val="00722B3F"/>
    <w:rsid w:val="00725998"/>
    <w:rsid w:val="00725B12"/>
    <w:rsid w:val="007311C0"/>
    <w:rsid w:val="00731E2A"/>
    <w:rsid w:val="00734FD4"/>
    <w:rsid w:val="00740FDB"/>
    <w:rsid w:val="0074155C"/>
    <w:rsid w:val="00742715"/>
    <w:rsid w:val="0074419A"/>
    <w:rsid w:val="00744AC7"/>
    <w:rsid w:val="0074718B"/>
    <w:rsid w:val="00752F41"/>
    <w:rsid w:val="00755821"/>
    <w:rsid w:val="00756CF3"/>
    <w:rsid w:val="00760711"/>
    <w:rsid w:val="00764256"/>
    <w:rsid w:val="0076454F"/>
    <w:rsid w:val="00767B75"/>
    <w:rsid w:val="007700F8"/>
    <w:rsid w:val="007764F5"/>
    <w:rsid w:val="0078066F"/>
    <w:rsid w:val="0078157F"/>
    <w:rsid w:val="00781A4A"/>
    <w:rsid w:val="0079172F"/>
    <w:rsid w:val="00791C67"/>
    <w:rsid w:val="00793C07"/>
    <w:rsid w:val="007941DC"/>
    <w:rsid w:val="00794DAC"/>
    <w:rsid w:val="007958AE"/>
    <w:rsid w:val="0079703B"/>
    <w:rsid w:val="0079727B"/>
    <w:rsid w:val="007A0D34"/>
    <w:rsid w:val="007A5852"/>
    <w:rsid w:val="007A5F9B"/>
    <w:rsid w:val="007A7C7A"/>
    <w:rsid w:val="007B6A73"/>
    <w:rsid w:val="007C175B"/>
    <w:rsid w:val="007C3FAA"/>
    <w:rsid w:val="007D220E"/>
    <w:rsid w:val="007D3AB6"/>
    <w:rsid w:val="007D4637"/>
    <w:rsid w:val="007D4C6C"/>
    <w:rsid w:val="007D569A"/>
    <w:rsid w:val="007D64F6"/>
    <w:rsid w:val="007D7F8F"/>
    <w:rsid w:val="007E4C94"/>
    <w:rsid w:val="007E5F04"/>
    <w:rsid w:val="007F2B36"/>
    <w:rsid w:val="007F2C2A"/>
    <w:rsid w:val="007F360E"/>
    <w:rsid w:val="007F4A22"/>
    <w:rsid w:val="007F5365"/>
    <w:rsid w:val="00800B76"/>
    <w:rsid w:val="00812DDE"/>
    <w:rsid w:val="008140E8"/>
    <w:rsid w:val="00815186"/>
    <w:rsid w:val="00816199"/>
    <w:rsid w:val="00816284"/>
    <w:rsid w:val="00817DB8"/>
    <w:rsid w:val="008223B6"/>
    <w:rsid w:val="008234AD"/>
    <w:rsid w:val="00824D57"/>
    <w:rsid w:val="00830331"/>
    <w:rsid w:val="00830E2C"/>
    <w:rsid w:val="00831A8D"/>
    <w:rsid w:val="00835FB6"/>
    <w:rsid w:val="008401DA"/>
    <w:rsid w:val="00844AC5"/>
    <w:rsid w:val="00845602"/>
    <w:rsid w:val="00846672"/>
    <w:rsid w:val="00847099"/>
    <w:rsid w:val="00853091"/>
    <w:rsid w:val="00861B0D"/>
    <w:rsid w:val="00864234"/>
    <w:rsid w:val="008642D5"/>
    <w:rsid w:val="00865A6F"/>
    <w:rsid w:val="008676EE"/>
    <w:rsid w:val="00867AC8"/>
    <w:rsid w:val="0087133C"/>
    <w:rsid w:val="00872B38"/>
    <w:rsid w:val="008801A3"/>
    <w:rsid w:val="00880599"/>
    <w:rsid w:val="00882212"/>
    <w:rsid w:val="00883AA8"/>
    <w:rsid w:val="008853B1"/>
    <w:rsid w:val="0088696D"/>
    <w:rsid w:val="00887B87"/>
    <w:rsid w:val="00890BC9"/>
    <w:rsid w:val="0089165B"/>
    <w:rsid w:val="008920BC"/>
    <w:rsid w:val="00893242"/>
    <w:rsid w:val="008944F3"/>
    <w:rsid w:val="008A06BA"/>
    <w:rsid w:val="008A06DF"/>
    <w:rsid w:val="008A2AD6"/>
    <w:rsid w:val="008A2E3D"/>
    <w:rsid w:val="008A2FC0"/>
    <w:rsid w:val="008A59E6"/>
    <w:rsid w:val="008A6F34"/>
    <w:rsid w:val="008B2078"/>
    <w:rsid w:val="008B5366"/>
    <w:rsid w:val="008C3CB6"/>
    <w:rsid w:val="008C4241"/>
    <w:rsid w:val="008C444B"/>
    <w:rsid w:val="008C60E7"/>
    <w:rsid w:val="008D1150"/>
    <w:rsid w:val="008D16DC"/>
    <w:rsid w:val="008D1E2F"/>
    <w:rsid w:val="008E1FB9"/>
    <w:rsid w:val="008E3462"/>
    <w:rsid w:val="008E58D8"/>
    <w:rsid w:val="008E6A1B"/>
    <w:rsid w:val="008E6B4B"/>
    <w:rsid w:val="008F615A"/>
    <w:rsid w:val="008F6B49"/>
    <w:rsid w:val="0090150F"/>
    <w:rsid w:val="009025C1"/>
    <w:rsid w:val="009047BE"/>
    <w:rsid w:val="00904AF7"/>
    <w:rsid w:val="009059F6"/>
    <w:rsid w:val="00905EC4"/>
    <w:rsid w:val="00906E89"/>
    <w:rsid w:val="00914845"/>
    <w:rsid w:val="009159E1"/>
    <w:rsid w:val="00926143"/>
    <w:rsid w:val="0092669F"/>
    <w:rsid w:val="00932626"/>
    <w:rsid w:val="00937032"/>
    <w:rsid w:val="00937148"/>
    <w:rsid w:val="00941419"/>
    <w:rsid w:val="00942353"/>
    <w:rsid w:val="009437A8"/>
    <w:rsid w:val="00946EFC"/>
    <w:rsid w:val="00946F9D"/>
    <w:rsid w:val="00952D54"/>
    <w:rsid w:val="00953043"/>
    <w:rsid w:val="00954CB2"/>
    <w:rsid w:val="00960804"/>
    <w:rsid w:val="00960E38"/>
    <w:rsid w:val="00967D3B"/>
    <w:rsid w:val="00970EA5"/>
    <w:rsid w:val="00971A55"/>
    <w:rsid w:val="00972180"/>
    <w:rsid w:val="00973CA7"/>
    <w:rsid w:val="0097679F"/>
    <w:rsid w:val="00984C36"/>
    <w:rsid w:val="00986108"/>
    <w:rsid w:val="00987D22"/>
    <w:rsid w:val="00991008"/>
    <w:rsid w:val="009929A4"/>
    <w:rsid w:val="009963B1"/>
    <w:rsid w:val="009A0EA8"/>
    <w:rsid w:val="009A1BDE"/>
    <w:rsid w:val="009A4B3F"/>
    <w:rsid w:val="009A7DA8"/>
    <w:rsid w:val="009B352B"/>
    <w:rsid w:val="009B39E3"/>
    <w:rsid w:val="009B5D6F"/>
    <w:rsid w:val="009C3B31"/>
    <w:rsid w:val="009C4A73"/>
    <w:rsid w:val="009C5CF6"/>
    <w:rsid w:val="009C75DB"/>
    <w:rsid w:val="009D062B"/>
    <w:rsid w:val="009D1674"/>
    <w:rsid w:val="009D1E75"/>
    <w:rsid w:val="009D389A"/>
    <w:rsid w:val="009D61CA"/>
    <w:rsid w:val="009E3496"/>
    <w:rsid w:val="009E444A"/>
    <w:rsid w:val="009E44D1"/>
    <w:rsid w:val="009F0561"/>
    <w:rsid w:val="009F1C8C"/>
    <w:rsid w:val="009F249A"/>
    <w:rsid w:val="009F6A79"/>
    <w:rsid w:val="00A00532"/>
    <w:rsid w:val="00A027FE"/>
    <w:rsid w:val="00A049ED"/>
    <w:rsid w:val="00A13FD3"/>
    <w:rsid w:val="00A15662"/>
    <w:rsid w:val="00A15B4D"/>
    <w:rsid w:val="00A17A05"/>
    <w:rsid w:val="00A201BA"/>
    <w:rsid w:val="00A20B5D"/>
    <w:rsid w:val="00A23F78"/>
    <w:rsid w:val="00A26C10"/>
    <w:rsid w:val="00A32364"/>
    <w:rsid w:val="00A32B12"/>
    <w:rsid w:val="00A332CD"/>
    <w:rsid w:val="00A33AC6"/>
    <w:rsid w:val="00A35840"/>
    <w:rsid w:val="00A43C61"/>
    <w:rsid w:val="00A44087"/>
    <w:rsid w:val="00A50064"/>
    <w:rsid w:val="00A50762"/>
    <w:rsid w:val="00A50EFB"/>
    <w:rsid w:val="00A51785"/>
    <w:rsid w:val="00A518CC"/>
    <w:rsid w:val="00A51DA0"/>
    <w:rsid w:val="00A52400"/>
    <w:rsid w:val="00A53AEC"/>
    <w:rsid w:val="00A5552F"/>
    <w:rsid w:val="00A557BC"/>
    <w:rsid w:val="00A57FA5"/>
    <w:rsid w:val="00A63D89"/>
    <w:rsid w:val="00A64913"/>
    <w:rsid w:val="00A66069"/>
    <w:rsid w:val="00A66F56"/>
    <w:rsid w:val="00A70FB7"/>
    <w:rsid w:val="00A73159"/>
    <w:rsid w:val="00A90CAD"/>
    <w:rsid w:val="00A91710"/>
    <w:rsid w:val="00A921BD"/>
    <w:rsid w:val="00A925B1"/>
    <w:rsid w:val="00A92A0C"/>
    <w:rsid w:val="00A95ABA"/>
    <w:rsid w:val="00A96575"/>
    <w:rsid w:val="00AA1DA9"/>
    <w:rsid w:val="00AA3C1D"/>
    <w:rsid w:val="00AA470C"/>
    <w:rsid w:val="00AA6718"/>
    <w:rsid w:val="00AA733B"/>
    <w:rsid w:val="00AB0EAD"/>
    <w:rsid w:val="00AB2F6A"/>
    <w:rsid w:val="00AB686A"/>
    <w:rsid w:val="00AC108C"/>
    <w:rsid w:val="00AC1A00"/>
    <w:rsid w:val="00AC2AA0"/>
    <w:rsid w:val="00AC4E3E"/>
    <w:rsid w:val="00AD1041"/>
    <w:rsid w:val="00AD273D"/>
    <w:rsid w:val="00AD518D"/>
    <w:rsid w:val="00AD5200"/>
    <w:rsid w:val="00AD5F49"/>
    <w:rsid w:val="00AE19A1"/>
    <w:rsid w:val="00AE7D66"/>
    <w:rsid w:val="00AF0598"/>
    <w:rsid w:val="00AF15DE"/>
    <w:rsid w:val="00AF1826"/>
    <w:rsid w:val="00AF6FAC"/>
    <w:rsid w:val="00B00551"/>
    <w:rsid w:val="00B053A8"/>
    <w:rsid w:val="00B1021A"/>
    <w:rsid w:val="00B1504B"/>
    <w:rsid w:val="00B153BA"/>
    <w:rsid w:val="00B16372"/>
    <w:rsid w:val="00B16D72"/>
    <w:rsid w:val="00B176D7"/>
    <w:rsid w:val="00B200B5"/>
    <w:rsid w:val="00B20E1B"/>
    <w:rsid w:val="00B21432"/>
    <w:rsid w:val="00B232BF"/>
    <w:rsid w:val="00B246C8"/>
    <w:rsid w:val="00B2524F"/>
    <w:rsid w:val="00B2636C"/>
    <w:rsid w:val="00B26C75"/>
    <w:rsid w:val="00B31267"/>
    <w:rsid w:val="00B316F7"/>
    <w:rsid w:val="00B36C6F"/>
    <w:rsid w:val="00B44A67"/>
    <w:rsid w:val="00B45AD9"/>
    <w:rsid w:val="00B46B50"/>
    <w:rsid w:val="00B46F12"/>
    <w:rsid w:val="00B50FAF"/>
    <w:rsid w:val="00B56DC4"/>
    <w:rsid w:val="00B63EEA"/>
    <w:rsid w:val="00B64301"/>
    <w:rsid w:val="00B64CA6"/>
    <w:rsid w:val="00B64F0D"/>
    <w:rsid w:val="00B652C9"/>
    <w:rsid w:val="00B66291"/>
    <w:rsid w:val="00B6685C"/>
    <w:rsid w:val="00B67E44"/>
    <w:rsid w:val="00B70889"/>
    <w:rsid w:val="00B72209"/>
    <w:rsid w:val="00B723C4"/>
    <w:rsid w:val="00B73AEF"/>
    <w:rsid w:val="00B73D7A"/>
    <w:rsid w:val="00B759D9"/>
    <w:rsid w:val="00B75E35"/>
    <w:rsid w:val="00B762CF"/>
    <w:rsid w:val="00B8127D"/>
    <w:rsid w:val="00B8450A"/>
    <w:rsid w:val="00B912C3"/>
    <w:rsid w:val="00B94787"/>
    <w:rsid w:val="00B95FA8"/>
    <w:rsid w:val="00B96E1B"/>
    <w:rsid w:val="00B97368"/>
    <w:rsid w:val="00B97861"/>
    <w:rsid w:val="00B97CCE"/>
    <w:rsid w:val="00BA0C36"/>
    <w:rsid w:val="00BB22AB"/>
    <w:rsid w:val="00BB4B9A"/>
    <w:rsid w:val="00BB5734"/>
    <w:rsid w:val="00BB612C"/>
    <w:rsid w:val="00BB61A5"/>
    <w:rsid w:val="00BB74E8"/>
    <w:rsid w:val="00BC0AC3"/>
    <w:rsid w:val="00BC2E32"/>
    <w:rsid w:val="00BC3A0B"/>
    <w:rsid w:val="00BC4919"/>
    <w:rsid w:val="00BC7592"/>
    <w:rsid w:val="00BC79A5"/>
    <w:rsid w:val="00BD00BC"/>
    <w:rsid w:val="00BD3394"/>
    <w:rsid w:val="00BD4173"/>
    <w:rsid w:val="00BD4618"/>
    <w:rsid w:val="00BD4F05"/>
    <w:rsid w:val="00BD69D0"/>
    <w:rsid w:val="00BD72CF"/>
    <w:rsid w:val="00BD7899"/>
    <w:rsid w:val="00BE3DF4"/>
    <w:rsid w:val="00BE6581"/>
    <w:rsid w:val="00BE6B9D"/>
    <w:rsid w:val="00BE7E28"/>
    <w:rsid w:val="00BF0E74"/>
    <w:rsid w:val="00BF3488"/>
    <w:rsid w:val="00BF55BD"/>
    <w:rsid w:val="00C02333"/>
    <w:rsid w:val="00C05D05"/>
    <w:rsid w:val="00C06DAA"/>
    <w:rsid w:val="00C14B6A"/>
    <w:rsid w:val="00C15825"/>
    <w:rsid w:val="00C169A3"/>
    <w:rsid w:val="00C20E8D"/>
    <w:rsid w:val="00C217C3"/>
    <w:rsid w:val="00C225A6"/>
    <w:rsid w:val="00C23C13"/>
    <w:rsid w:val="00C240A7"/>
    <w:rsid w:val="00C25258"/>
    <w:rsid w:val="00C255CE"/>
    <w:rsid w:val="00C27BEA"/>
    <w:rsid w:val="00C3712E"/>
    <w:rsid w:val="00C40B64"/>
    <w:rsid w:val="00C435E6"/>
    <w:rsid w:val="00C443E4"/>
    <w:rsid w:val="00C446EE"/>
    <w:rsid w:val="00C4660F"/>
    <w:rsid w:val="00C471AC"/>
    <w:rsid w:val="00C476C8"/>
    <w:rsid w:val="00C51754"/>
    <w:rsid w:val="00C51F32"/>
    <w:rsid w:val="00C547A9"/>
    <w:rsid w:val="00C56E41"/>
    <w:rsid w:val="00C57192"/>
    <w:rsid w:val="00C609D6"/>
    <w:rsid w:val="00C64BB6"/>
    <w:rsid w:val="00C67553"/>
    <w:rsid w:val="00C67EFD"/>
    <w:rsid w:val="00C705B3"/>
    <w:rsid w:val="00C719FB"/>
    <w:rsid w:val="00C71C81"/>
    <w:rsid w:val="00C71F2E"/>
    <w:rsid w:val="00C72BA4"/>
    <w:rsid w:val="00C7311A"/>
    <w:rsid w:val="00C778D5"/>
    <w:rsid w:val="00C803D0"/>
    <w:rsid w:val="00C80A7E"/>
    <w:rsid w:val="00C84DF1"/>
    <w:rsid w:val="00C85D36"/>
    <w:rsid w:val="00C867A5"/>
    <w:rsid w:val="00C86A3C"/>
    <w:rsid w:val="00C86FA4"/>
    <w:rsid w:val="00C87D50"/>
    <w:rsid w:val="00C90586"/>
    <w:rsid w:val="00C9432C"/>
    <w:rsid w:val="00C95401"/>
    <w:rsid w:val="00CA6AFC"/>
    <w:rsid w:val="00CA717E"/>
    <w:rsid w:val="00CB1580"/>
    <w:rsid w:val="00CB2684"/>
    <w:rsid w:val="00CB327E"/>
    <w:rsid w:val="00CB4CF4"/>
    <w:rsid w:val="00CB6D8B"/>
    <w:rsid w:val="00CB757F"/>
    <w:rsid w:val="00CB7714"/>
    <w:rsid w:val="00CB7888"/>
    <w:rsid w:val="00CC0D34"/>
    <w:rsid w:val="00CC1F52"/>
    <w:rsid w:val="00CC3CEC"/>
    <w:rsid w:val="00CC5650"/>
    <w:rsid w:val="00CC601E"/>
    <w:rsid w:val="00CD0810"/>
    <w:rsid w:val="00CD0871"/>
    <w:rsid w:val="00CD15AC"/>
    <w:rsid w:val="00CD16EF"/>
    <w:rsid w:val="00CD6E04"/>
    <w:rsid w:val="00CD7C3C"/>
    <w:rsid w:val="00CE0038"/>
    <w:rsid w:val="00CE00DF"/>
    <w:rsid w:val="00CE0EE9"/>
    <w:rsid w:val="00CE2815"/>
    <w:rsid w:val="00CE4363"/>
    <w:rsid w:val="00CE6145"/>
    <w:rsid w:val="00CE7493"/>
    <w:rsid w:val="00CF1384"/>
    <w:rsid w:val="00CF31A3"/>
    <w:rsid w:val="00CF5029"/>
    <w:rsid w:val="00D0005C"/>
    <w:rsid w:val="00D03E68"/>
    <w:rsid w:val="00D0649F"/>
    <w:rsid w:val="00D101DB"/>
    <w:rsid w:val="00D10EC7"/>
    <w:rsid w:val="00D14647"/>
    <w:rsid w:val="00D14DA8"/>
    <w:rsid w:val="00D152BD"/>
    <w:rsid w:val="00D1696C"/>
    <w:rsid w:val="00D173FA"/>
    <w:rsid w:val="00D17566"/>
    <w:rsid w:val="00D20765"/>
    <w:rsid w:val="00D20FE1"/>
    <w:rsid w:val="00D22980"/>
    <w:rsid w:val="00D251EF"/>
    <w:rsid w:val="00D25271"/>
    <w:rsid w:val="00D26AD1"/>
    <w:rsid w:val="00D27104"/>
    <w:rsid w:val="00D30143"/>
    <w:rsid w:val="00D31DD4"/>
    <w:rsid w:val="00D348B0"/>
    <w:rsid w:val="00D3713E"/>
    <w:rsid w:val="00D40793"/>
    <w:rsid w:val="00D436C6"/>
    <w:rsid w:val="00D463F3"/>
    <w:rsid w:val="00D47072"/>
    <w:rsid w:val="00D514DB"/>
    <w:rsid w:val="00D51D5A"/>
    <w:rsid w:val="00D526AB"/>
    <w:rsid w:val="00D54B44"/>
    <w:rsid w:val="00D558E1"/>
    <w:rsid w:val="00D57026"/>
    <w:rsid w:val="00D627C9"/>
    <w:rsid w:val="00D71828"/>
    <w:rsid w:val="00D800DA"/>
    <w:rsid w:val="00D8218E"/>
    <w:rsid w:val="00D8346E"/>
    <w:rsid w:val="00D86650"/>
    <w:rsid w:val="00D86D55"/>
    <w:rsid w:val="00D900EE"/>
    <w:rsid w:val="00D921FE"/>
    <w:rsid w:val="00D9496D"/>
    <w:rsid w:val="00D95BB3"/>
    <w:rsid w:val="00D97380"/>
    <w:rsid w:val="00DA044F"/>
    <w:rsid w:val="00DA105C"/>
    <w:rsid w:val="00DA2163"/>
    <w:rsid w:val="00DA28B2"/>
    <w:rsid w:val="00DA6C09"/>
    <w:rsid w:val="00DA6ECE"/>
    <w:rsid w:val="00DA7095"/>
    <w:rsid w:val="00DA72AF"/>
    <w:rsid w:val="00DB223F"/>
    <w:rsid w:val="00DB57BB"/>
    <w:rsid w:val="00DB6A83"/>
    <w:rsid w:val="00DC0B27"/>
    <w:rsid w:val="00DC3998"/>
    <w:rsid w:val="00DC4475"/>
    <w:rsid w:val="00DC5E9F"/>
    <w:rsid w:val="00DC7567"/>
    <w:rsid w:val="00DD645B"/>
    <w:rsid w:val="00DE1A22"/>
    <w:rsid w:val="00DE1CCA"/>
    <w:rsid w:val="00DE4356"/>
    <w:rsid w:val="00DE6729"/>
    <w:rsid w:val="00DE7E2D"/>
    <w:rsid w:val="00DF193F"/>
    <w:rsid w:val="00DF25E1"/>
    <w:rsid w:val="00DF3523"/>
    <w:rsid w:val="00E01458"/>
    <w:rsid w:val="00E0332B"/>
    <w:rsid w:val="00E036CD"/>
    <w:rsid w:val="00E049D9"/>
    <w:rsid w:val="00E07100"/>
    <w:rsid w:val="00E07FC2"/>
    <w:rsid w:val="00E10C3F"/>
    <w:rsid w:val="00E13124"/>
    <w:rsid w:val="00E153BB"/>
    <w:rsid w:val="00E15983"/>
    <w:rsid w:val="00E21413"/>
    <w:rsid w:val="00E22D57"/>
    <w:rsid w:val="00E22EBC"/>
    <w:rsid w:val="00E251C7"/>
    <w:rsid w:val="00E278B7"/>
    <w:rsid w:val="00E27AD6"/>
    <w:rsid w:val="00E30D44"/>
    <w:rsid w:val="00E329CC"/>
    <w:rsid w:val="00E3685E"/>
    <w:rsid w:val="00E37343"/>
    <w:rsid w:val="00E45FFA"/>
    <w:rsid w:val="00E50F9B"/>
    <w:rsid w:val="00E54396"/>
    <w:rsid w:val="00E5578E"/>
    <w:rsid w:val="00E57260"/>
    <w:rsid w:val="00E604F1"/>
    <w:rsid w:val="00E61654"/>
    <w:rsid w:val="00E6680C"/>
    <w:rsid w:val="00E66C37"/>
    <w:rsid w:val="00E7270D"/>
    <w:rsid w:val="00E737A3"/>
    <w:rsid w:val="00E7592D"/>
    <w:rsid w:val="00E81AF6"/>
    <w:rsid w:val="00E826CD"/>
    <w:rsid w:val="00E843C6"/>
    <w:rsid w:val="00E85903"/>
    <w:rsid w:val="00E85964"/>
    <w:rsid w:val="00E85CA9"/>
    <w:rsid w:val="00E86560"/>
    <w:rsid w:val="00E86589"/>
    <w:rsid w:val="00E90411"/>
    <w:rsid w:val="00E90B57"/>
    <w:rsid w:val="00E90E77"/>
    <w:rsid w:val="00E91D47"/>
    <w:rsid w:val="00E950F7"/>
    <w:rsid w:val="00E9738B"/>
    <w:rsid w:val="00E97ED5"/>
    <w:rsid w:val="00EA2A02"/>
    <w:rsid w:val="00EA3FB7"/>
    <w:rsid w:val="00EA4881"/>
    <w:rsid w:val="00EA6339"/>
    <w:rsid w:val="00EB0F3C"/>
    <w:rsid w:val="00EB13A1"/>
    <w:rsid w:val="00EB1B29"/>
    <w:rsid w:val="00EB1F22"/>
    <w:rsid w:val="00EB4289"/>
    <w:rsid w:val="00EB5885"/>
    <w:rsid w:val="00EB6854"/>
    <w:rsid w:val="00EB75BE"/>
    <w:rsid w:val="00EC1352"/>
    <w:rsid w:val="00EC2549"/>
    <w:rsid w:val="00EC2883"/>
    <w:rsid w:val="00EC2BB5"/>
    <w:rsid w:val="00EC3810"/>
    <w:rsid w:val="00EC40A2"/>
    <w:rsid w:val="00EC4B4C"/>
    <w:rsid w:val="00EC4D83"/>
    <w:rsid w:val="00EC5F28"/>
    <w:rsid w:val="00EC69E5"/>
    <w:rsid w:val="00EE126C"/>
    <w:rsid w:val="00EE32ED"/>
    <w:rsid w:val="00EE4F79"/>
    <w:rsid w:val="00EE7E2F"/>
    <w:rsid w:val="00EF31F9"/>
    <w:rsid w:val="00EF4E8F"/>
    <w:rsid w:val="00EF5AA6"/>
    <w:rsid w:val="00EF6661"/>
    <w:rsid w:val="00F02D10"/>
    <w:rsid w:val="00F0669D"/>
    <w:rsid w:val="00F07E14"/>
    <w:rsid w:val="00F10E50"/>
    <w:rsid w:val="00F211FE"/>
    <w:rsid w:val="00F224EF"/>
    <w:rsid w:val="00F234A7"/>
    <w:rsid w:val="00F238BB"/>
    <w:rsid w:val="00F2456F"/>
    <w:rsid w:val="00F261FD"/>
    <w:rsid w:val="00F27DDA"/>
    <w:rsid w:val="00F37F8A"/>
    <w:rsid w:val="00F42EDE"/>
    <w:rsid w:val="00F43EFC"/>
    <w:rsid w:val="00F446EB"/>
    <w:rsid w:val="00F46B36"/>
    <w:rsid w:val="00F47157"/>
    <w:rsid w:val="00F5336A"/>
    <w:rsid w:val="00F54C2B"/>
    <w:rsid w:val="00F567E7"/>
    <w:rsid w:val="00F571BE"/>
    <w:rsid w:val="00F5795E"/>
    <w:rsid w:val="00F57A49"/>
    <w:rsid w:val="00F61B76"/>
    <w:rsid w:val="00F62354"/>
    <w:rsid w:val="00F643A2"/>
    <w:rsid w:val="00F643F2"/>
    <w:rsid w:val="00F65F03"/>
    <w:rsid w:val="00F6601D"/>
    <w:rsid w:val="00F673CB"/>
    <w:rsid w:val="00F67588"/>
    <w:rsid w:val="00F70F4B"/>
    <w:rsid w:val="00F72D0E"/>
    <w:rsid w:val="00F758CB"/>
    <w:rsid w:val="00F76A4D"/>
    <w:rsid w:val="00F8221A"/>
    <w:rsid w:val="00F87178"/>
    <w:rsid w:val="00F87390"/>
    <w:rsid w:val="00F90B59"/>
    <w:rsid w:val="00F91549"/>
    <w:rsid w:val="00F9208B"/>
    <w:rsid w:val="00F93EE8"/>
    <w:rsid w:val="00F943BD"/>
    <w:rsid w:val="00FA440F"/>
    <w:rsid w:val="00FA6888"/>
    <w:rsid w:val="00FB762C"/>
    <w:rsid w:val="00FC18D7"/>
    <w:rsid w:val="00FC6BE7"/>
    <w:rsid w:val="00FC7535"/>
    <w:rsid w:val="00FD0135"/>
    <w:rsid w:val="00FD028C"/>
    <w:rsid w:val="00FD2052"/>
    <w:rsid w:val="00FE0575"/>
    <w:rsid w:val="00FE26CC"/>
    <w:rsid w:val="00FE78A2"/>
    <w:rsid w:val="00FF3E28"/>
    <w:rsid w:val="00FF77D0"/>
    <w:rsid w:val="00FF7C8C"/>
    <w:rsid w:val="01DA23AF"/>
    <w:rsid w:val="025739FF"/>
    <w:rsid w:val="02581525"/>
    <w:rsid w:val="02971D9B"/>
    <w:rsid w:val="040F20B8"/>
    <w:rsid w:val="04A120E1"/>
    <w:rsid w:val="05CF5FA2"/>
    <w:rsid w:val="060C467C"/>
    <w:rsid w:val="062A31D9"/>
    <w:rsid w:val="062F259D"/>
    <w:rsid w:val="06654211"/>
    <w:rsid w:val="068C25DB"/>
    <w:rsid w:val="06AE79A3"/>
    <w:rsid w:val="06B47C7B"/>
    <w:rsid w:val="06EB2968"/>
    <w:rsid w:val="06ED4932"/>
    <w:rsid w:val="07106873"/>
    <w:rsid w:val="071C0D73"/>
    <w:rsid w:val="07504EC1"/>
    <w:rsid w:val="07EE41F1"/>
    <w:rsid w:val="080324F7"/>
    <w:rsid w:val="082F13F4"/>
    <w:rsid w:val="08381BDD"/>
    <w:rsid w:val="083D1CD8"/>
    <w:rsid w:val="087516B5"/>
    <w:rsid w:val="09A10A0F"/>
    <w:rsid w:val="0A1C72DC"/>
    <w:rsid w:val="0AC37758"/>
    <w:rsid w:val="0B154457"/>
    <w:rsid w:val="0B212DFC"/>
    <w:rsid w:val="0B3E2722"/>
    <w:rsid w:val="0B91507D"/>
    <w:rsid w:val="0BBA6DAD"/>
    <w:rsid w:val="0C27455C"/>
    <w:rsid w:val="0C610D37"/>
    <w:rsid w:val="0D0F2768"/>
    <w:rsid w:val="0D8458C4"/>
    <w:rsid w:val="0E1704E7"/>
    <w:rsid w:val="0FDD1D3C"/>
    <w:rsid w:val="102B5847"/>
    <w:rsid w:val="10B169D0"/>
    <w:rsid w:val="10B72ECD"/>
    <w:rsid w:val="10F90F82"/>
    <w:rsid w:val="111019FE"/>
    <w:rsid w:val="11627CCB"/>
    <w:rsid w:val="1283393D"/>
    <w:rsid w:val="130D3C66"/>
    <w:rsid w:val="134358DA"/>
    <w:rsid w:val="134C478E"/>
    <w:rsid w:val="13533D6F"/>
    <w:rsid w:val="13A9398F"/>
    <w:rsid w:val="13BF03CA"/>
    <w:rsid w:val="143851FF"/>
    <w:rsid w:val="148B578A"/>
    <w:rsid w:val="1510485B"/>
    <w:rsid w:val="151E215B"/>
    <w:rsid w:val="15853F88"/>
    <w:rsid w:val="16157E2D"/>
    <w:rsid w:val="16393F65"/>
    <w:rsid w:val="16866209"/>
    <w:rsid w:val="174727ED"/>
    <w:rsid w:val="17D66D1D"/>
    <w:rsid w:val="18F25DD8"/>
    <w:rsid w:val="1945415A"/>
    <w:rsid w:val="196C5B8A"/>
    <w:rsid w:val="199F50F2"/>
    <w:rsid w:val="19AC5F87"/>
    <w:rsid w:val="19CF7EC7"/>
    <w:rsid w:val="1A134258"/>
    <w:rsid w:val="1A27385F"/>
    <w:rsid w:val="1A396A26"/>
    <w:rsid w:val="1A3D3083"/>
    <w:rsid w:val="1AB75623"/>
    <w:rsid w:val="1B297ECA"/>
    <w:rsid w:val="1BA91321"/>
    <w:rsid w:val="1C422BD3"/>
    <w:rsid w:val="1C4C57FF"/>
    <w:rsid w:val="1C56667E"/>
    <w:rsid w:val="1C607754"/>
    <w:rsid w:val="1CA266AD"/>
    <w:rsid w:val="1CE27F12"/>
    <w:rsid w:val="1CF75746"/>
    <w:rsid w:val="1D686669"/>
    <w:rsid w:val="1DD82FFB"/>
    <w:rsid w:val="1E4F15D7"/>
    <w:rsid w:val="1E571888"/>
    <w:rsid w:val="1ECC7CDD"/>
    <w:rsid w:val="1EFA59E6"/>
    <w:rsid w:val="1FFB5111"/>
    <w:rsid w:val="20DB53A4"/>
    <w:rsid w:val="20E650B5"/>
    <w:rsid w:val="21AB2FC8"/>
    <w:rsid w:val="21F104B3"/>
    <w:rsid w:val="22552F34"/>
    <w:rsid w:val="22843E91"/>
    <w:rsid w:val="23256E5B"/>
    <w:rsid w:val="23A943F2"/>
    <w:rsid w:val="23BF77F9"/>
    <w:rsid w:val="242F7EE0"/>
    <w:rsid w:val="24A02B8C"/>
    <w:rsid w:val="25BF7042"/>
    <w:rsid w:val="25C26B32"/>
    <w:rsid w:val="25E8116C"/>
    <w:rsid w:val="262B0B7B"/>
    <w:rsid w:val="263E1924"/>
    <w:rsid w:val="270D0281"/>
    <w:rsid w:val="27677991"/>
    <w:rsid w:val="27EC23B7"/>
    <w:rsid w:val="28CD68E9"/>
    <w:rsid w:val="292D1901"/>
    <w:rsid w:val="2A7B2E88"/>
    <w:rsid w:val="2AAC55EE"/>
    <w:rsid w:val="2B1241D5"/>
    <w:rsid w:val="2B1E480B"/>
    <w:rsid w:val="2B3D1DC1"/>
    <w:rsid w:val="2B886128"/>
    <w:rsid w:val="2C023A0C"/>
    <w:rsid w:val="2C475F3C"/>
    <w:rsid w:val="2CEB4BC0"/>
    <w:rsid w:val="2D170DFB"/>
    <w:rsid w:val="2D6B72D5"/>
    <w:rsid w:val="2D88240F"/>
    <w:rsid w:val="2DA51213"/>
    <w:rsid w:val="2E150147"/>
    <w:rsid w:val="2E4F4001"/>
    <w:rsid w:val="2EF36F14"/>
    <w:rsid w:val="2FA17BFB"/>
    <w:rsid w:val="2FC841E5"/>
    <w:rsid w:val="2FFA56D7"/>
    <w:rsid w:val="300852DE"/>
    <w:rsid w:val="301B3177"/>
    <w:rsid w:val="303F76FD"/>
    <w:rsid w:val="31992E3D"/>
    <w:rsid w:val="31E06CBE"/>
    <w:rsid w:val="32236BAB"/>
    <w:rsid w:val="3244289A"/>
    <w:rsid w:val="32B97377"/>
    <w:rsid w:val="33941B0E"/>
    <w:rsid w:val="33C91D38"/>
    <w:rsid w:val="34291934"/>
    <w:rsid w:val="348D06FD"/>
    <w:rsid w:val="34CC177B"/>
    <w:rsid w:val="34DF325D"/>
    <w:rsid w:val="362E697F"/>
    <w:rsid w:val="362F1FC2"/>
    <w:rsid w:val="37144761"/>
    <w:rsid w:val="375A6BCB"/>
    <w:rsid w:val="37AB5678"/>
    <w:rsid w:val="37C24F6B"/>
    <w:rsid w:val="37D7173E"/>
    <w:rsid w:val="37F17D73"/>
    <w:rsid w:val="382F48C6"/>
    <w:rsid w:val="38312021"/>
    <w:rsid w:val="38B817B4"/>
    <w:rsid w:val="38C05153"/>
    <w:rsid w:val="393B4A71"/>
    <w:rsid w:val="398E34A3"/>
    <w:rsid w:val="3A7E52C6"/>
    <w:rsid w:val="3A8F1281"/>
    <w:rsid w:val="3A9B5E78"/>
    <w:rsid w:val="3AAC1E33"/>
    <w:rsid w:val="3AB17F7A"/>
    <w:rsid w:val="3ACA22B9"/>
    <w:rsid w:val="3B0E58C7"/>
    <w:rsid w:val="3B304812"/>
    <w:rsid w:val="3BCE7B87"/>
    <w:rsid w:val="3C033730"/>
    <w:rsid w:val="3C746980"/>
    <w:rsid w:val="3D406863"/>
    <w:rsid w:val="3DDF607B"/>
    <w:rsid w:val="3E260CC7"/>
    <w:rsid w:val="3EB968CD"/>
    <w:rsid w:val="3EF8229A"/>
    <w:rsid w:val="3F446ADE"/>
    <w:rsid w:val="3F4563B2"/>
    <w:rsid w:val="40356427"/>
    <w:rsid w:val="40A35A86"/>
    <w:rsid w:val="40D93256"/>
    <w:rsid w:val="418961FE"/>
    <w:rsid w:val="41C2018E"/>
    <w:rsid w:val="42103A4A"/>
    <w:rsid w:val="42764E69"/>
    <w:rsid w:val="427D5E63"/>
    <w:rsid w:val="42D55C9F"/>
    <w:rsid w:val="434370AD"/>
    <w:rsid w:val="4416031D"/>
    <w:rsid w:val="44315157"/>
    <w:rsid w:val="44B10046"/>
    <w:rsid w:val="450811BF"/>
    <w:rsid w:val="452614AD"/>
    <w:rsid w:val="45823E47"/>
    <w:rsid w:val="46B300A5"/>
    <w:rsid w:val="46B8390E"/>
    <w:rsid w:val="471E5E67"/>
    <w:rsid w:val="47721D0E"/>
    <w:rsid w:val="47C754C6"/>
    <w:rsid w:val="47D71C0C"/>
    <w:rsid w:val="486E0FF2"/>
    <w:rsid w:val="486F44A0"/>
    <w:rsid w:val="49680B13"/>
    <w:rsid w:val="49D7054F"/>
    <w:rsid w:val="4BA12BC2"/>
    <w:rsid w:val="4C15710C"/>
    <w:rsid w:val="4C6C1422"/>
    <w:rsid w:val="4C7812B7"/>
    <w:rsid w:val="4CE2651F"/>
    <w:rsid w:val="4D0553D3"/>
    <w:rsid w:val="4D346757"/>
    <w:rsid w:val="4D3B1D7F"/>
    <w:rsid w:val="4E896D6E"/>
    <w:rsid w:val="4EDD03B5"/>
    <w:rsid w:val="50487D45"/>
    <w:rsid w:val="50F639B0"/>
    <w:rsid w:val="51121E6C"/>
    <w:rsid w:val="514C35D0"/>
    <w:rsid w:val="5176064D"/>
    <w:rsid w:val="52533F75"/>
    <w:rsid w:val="52C84ED8"/>
    <w:rsid w:val="52CA126A"/>
    <w:rsid w:val="52DB2E5E"/>
    <w:rsid w:val="530103EA"/>
    <w:rsid w:val="531445C2"/>
    <w:rsid w:val="53650979"/>
    <w:rsid w:val="53A07C03"/>
    <w:rsid w:val="54006EBD"/>
    <w:rsid w:val="540208BE"/>
    <w:rsid w:val="542425E2"/>
    <w:rsid w:val="550E3F9A"/>
    <w:rsid w:val="55766E6E"/>
    <w:rsid w:val="559B2D78"/>
    <w:rsid w:val="559B53B0"/>
    <w:rsid w:val="55B81234"/>
    <w:rsid w:val="55FE01DE"/>
    <w:rsid w:val="565F3711"/>
    <w:rsid w:val="567F7FA4"/>
    <w:rsid w:val="56951575"/>
    <w:rsid w:val="56B17AF5"/>
    <w:rsid w:val="56D7393C"/>
    <w:rsid w:val="57672F12"/>
    <w:rsid w:val="57F16C7F"/>
    <w:rsid w:val="57F95B34"/>
    <w:rsid w:val="58E10F36"/>
    <w:rsid w:val="591075D9"/>
    <w:rsid w:val="59BA5EBD"/>
    <w:rsid w:val="59CA6C37"/>
    <w:rsid w:val="59DD51A2"/>
    <w:rsid w:val="5A241C82"/>
    <w:rsid w:val="5A655703"/>
    <w:rsid w:val="5AC8016B"/>
    <w:rsid w:val="5ACD1DFE"/>
    <w:rsid w:val="5AE605F2"/>
    <w:rsid w:val="5B2D7FCE"/>
    <w:rsid w:val="5D0631CD"/>
    <w:rsid w:val="5D3445F3"/>
    <w:rsid w:val="5E4717A2"/>
    <w:rsid w:val="5E487850"/>
    <w:rsid w:val="5E4A70E9"/>
    <w:rsid w:val="5E6A778C"/>
    <w:rsid w:val="5EDB41E5"/>
    <w:rsid w:val="5F2B2A77"/>
    <w:rsid w:val="5FD35B6B"/>
    <w:rsid w:val="5FDE3F8D"/>
    <w:rsid w:val="609A4358"/>
    <w:rsid w:val="61665FE8"/>
    <w:rsid w:val="61BC56D7"/>
    <w:rsid w:val="62A3501A"/>
    <w:rsid w:val="6445282D"/>
    <w:rsid w:val="64DA7491"/>
    <w:rsid w:val="65BE5407"/>
    <w:rsid w:val="65CB6AD7"/>
    <w:rsid w:val="67065B78"/>
    <w:rsid w:val="67310E46"/>
    <w:rsid w:val="674F751F"/>
    <w:rsid w:val="675D6C23"/>
    <w:rsid w:val="67D77C40"/>
    <w:rsid w:val="67DA328C"/>
    <w:rsid w:val="68C06BF6"/>
    <w:rsid w:val="696B1E57"/>
    <w:rsid w:val="69E0280F"/>
    <w:rsid w:val="6A99742E"/>
    <w:rsid w:val="6AF405C0"/>
    <w:rsid w:val="6B555802"/>
    <w:rsid w:val="6CE013DA"/>
    <w:rsid w:val="6CF5724A"/>
    <w:rsid w:val="6E14501E"/>
    <w:rsid w:val="6E971ED7"/>
    <w:rsid w:val="6E9E4157"/>
    <w:rsid w:val="6EB15DD3"/>
    <w:rsid w:val="6EC91D52"/>
    <w:rsid w:val="6ED07E1A"/>
    <w:rsid w:val="6EE85353"/>
    <w:rsid w:val="6EF32E85"/>
    <w:rsid w:val="6F7A7850"/>
    <w:rsid w:val="703D7D6C"/>
    <w:rsid w:val="70CE05A3"/>
    <w:rsid w:val="71107D1F"/>
    <w:rsid w:val="71213CDA"/>
    <w:rsid w:val="71A50ADE"/>
    <w:rsid w:val="73DD5247"/>
    <w:rsid w:val="73EF2A80"/>
    <w:rsid w:val="742064CB"/>
    <w:rsid w:val="7476258E"/>
    <w:rsid w:val="748F01F5"/>
    <w:rsid w:val="75357D54"/>
    <w:rsid w:val="755A5A0C"/>
    <w:rsid w:val="75C80BC8"/>
    <w:rsid w:val="762A72B5"/>
    <w:rsid w:val="762B1157"/>
    <w:rsid w:val="768F16E6"/>
    <w:rsid w:val="76AD7DBE"/>
    <w:rsid w:val="76EE4427"/>
    <w:rsid w:val="77183DD1"/>
    <w:rsid w:val="77F71C38"/>
    <w:rsid w:val="78AA314A"/>
    <w:rsid w:val="78C25DA2"/>
    <w:rsid w:val="78CD0CE6"/>
    <w:rsid w:val="792A3948"/>
    <w:rsid w:val="79D07A75"/>
    <w:rsid w:val="79FB4704"/>
    <w:rsid w:val="7A3A5E0C"/>
    <w:rsid w:val="7A71379F"/>
    <w:rsid w:val="7BC566B5"/>
    <w:rsid w:val="7DCB394B"/>
    <w:rsid w:val="7DCC1471"/>
    <w:rsid w:val="7E70572F"/>
    <w:rsid w:val="7E7A031E"/>
    <w:rsid w:val="7F482D79"/>
    <w:rsid w:val="7F820039"/>
    <w:rsid w:val="7FFF168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nhideWhenUsed="0" w:uiPriority="9" w:semiHidden="0" w:name="heading 3"/>
    <w:lsdException w:qFormat="1" w:unhideWhenUsed="0"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qFormat="1" w:unhideWhenUsed="0" w:uiPriority="0" w:semiHidden="0"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6"/>
    <w:qFormat/>
    <w:uiPriority w:val="0"/>
    <w:pPr>
      <w:keepNext/>
      <w:keepLines/>
      <w:spacing w:before="340" w:afterLines="25" w:line="578" w:lineRule="auto"/>
      <w:outlineLvl w:val="0"/>
    </w:pPr>
    <w:rPr>
      <w:rFonts w:ascii="Arial" w:hAnsi="Arial" w:eastAsia="宋体" w:cs="Times New Roman"/>
      <w:b/>
      <w:bCs/>
      <w:kern w:val="44"/>
      <w:sz w:val="44"/>
      <w:szCs w:val="44"/>
    </w:rPr>
  </w:style>
  <w:style w:type="paragraph" w:styleId="3">
    <w:name w:val="heading 2"/>
    <w:basedOn w:val="1"/>
    <w:next w:val="1"/>
    <w:link w:val="29"/>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5"/>
    <w:next w:val="1"/>
    <w:qFormat/>
    <w:uiPriority w:val="9"/>
    <w:pPr>
      <w:spacing w:before="260" w:after="260" w:line="240" w:lineRule="auto"/>
      <w:outlineLvl w:val="2"/>
    </w:pPr>
    <w:rPr>
      <w:rFonts w:ascii="宋体" w:hAnsi="宋体" w:eastAsia="宋体"/>
      <w:szCs w:val="32"/>
    </w:rPr>
  </w:style>
  <w:style w:type="paragraph" w:styleId="5">
    <w:name w:val="heading 4"/>
    <w:basedOn w:val="1"/>
    <w:next w:val="1"/>
    <w:qFormat/>
    <w:uiPriority w:val="9"/>
    <w:pPr>
      <w:keepNext/>
      <w:keepLines/>
      <w:spacing w:before="280" w:after="290" w:line="376" w:lineRule="auto"/>
      <w:outlineLvl w:val="3"/>
    </w:pPr>
    <w:rPr>
      <w:rFonts w:ascii="Arial" w:hAnsi="Arial" w:eastAsia="黑体"/>
      <w:b/>
      <w:bCs/>
      <w:sz w:val="28"/>
      <w:szCs w:val="28"/>
    </w:rPr>
  </w:style>
  <w:style w:type="character" w:default="1" w:styleId="18">
    <w:name w:val="Default Paragraph Font"/>
    <w:semiHidden/>
    <w:unhideWhenUsed/>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6">
    <w:name w:val="Normal Indent"/>
    <w:basedOn w:val="1"/>
    <w:qFormat/>
    <w:uiPriority w:val="0"/>
    <w:pPr>
      <w:ind w:firstLine="420"/>
    </w:pPr>
    <w:rPr>
      <w:szCs w:val="20"/>
    </w:rPr>
  </w:style>
  <w:style w:type="paragraph" w:styleId="7">
    <w:name w:val="Document Map"/>
    <w:basedOn w:val="1"/>
    <w:link w:val="28"/>
    <w:semiHidden/>
    <w:unhideWhenUsed/>
    <w:qFormat/>
    <w:uiPriority w:val="99"/>
    <w:rPr>
      <w:rFonts w:ascii="宋体" w:eastAsia="宋体"/>
      <w:sz w:val="18"/>
      <w:szCs w:val="18"/>
    </w:rPr>
  </w:style>
  <w:style w:type="paragraph" w:styleId="8">
    <w:name w:val="annotation text"/>
    <w:basedOn w:val="1"/>
    <w:link w:val="30"/>
    <w:semiHidden/>
    <w:unhideWhenUsed/>
    <w:qFormat/>
    <w:uiPriority w:val="99"/>
    <w:pPr>
      <w:jc w:val="left"/>
    </w:pPr>
  </w:style>
  <w:style w:type="paragraph" w:styleId="9">
    <w:name w:val="Body Text"/>
    <w:basedOn w:val="1"/>
    <w:next w:val="10"/>
    <w:qFormat/>
    <w:uiPriority w:val="0"/>
    <w:pPr>
      <w:spacing w:line="360" w:lineRule="auto"/>
    </w:pPr>
    <w:rPr>
      <w:b/>
      <w:bCs/>
      <w:sz w:val="24"/>
    </w:rPr>
  </w:style>
  <w:style w:type="paragraph" w:styleId="10">
    <w:name w:val="Body Text 2"/>
    <w:basedOn w:val="1"/>
    <w:qFormat/>
    <w:uiPriority w:val="0"/>
    <w:pPr>
      <w:spacing w:line="360" w:lineRule="auto"/>
    </w:pPr>
    <w:rPr>
      <w:sz w:val="24"/>
    </w:rPr>
  </w:style>
  <w:style w:type="paragraph" w:styleId="11">
    <w:name w:val="Balloon Text"/>
    <w:basedOn w:val="1"/>
    <w:link w:val="24"/>
    <w:semiHidden/>
    <w:unhideWhenUsed/>
    <w:qFormat/>
    <w:uiPriority w:val="99"/>
    <w:rPr>
      <w:sz w:val="18"/>
      <w:szCs w:val="18"/>
    </w:rPr>
  </w:style>
  <w:style w:type="paragraph" w:styleId="12">
    <w:name w:val="footer"/>
    <w:basedOn w:val="1"/>
    <w:link w:val="23"/>
    <w:unhideWhenUsed/>
    <w:qFormat/>
    <w:uiPriority w:val="99"/>
    <w:pPr>
      <w:tabs>
        <w:tab w:val="center" w:pos="4153"/>
        <w:tab w:val="right" w:pos="8306"/>
      </w:tabs>
      <w:snapToGrid w:val="0"/>
      <w:jc w:val="left"/>
    </w:pPr>
    <w:rPr>
      <w:sz w:val="18"/>
      <w:szCs w:val="18"/>
    </w:rPr>
  </w:style>
  <w:style w:type="paragraph" w:styleId="13">
    <w:name w:val="header"/>
    <w:basedOn w:val="1"/>
    <w:link w:val="22"/>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14">
    <w:name w:val="Normal (Web)"/>
    <w:basedOn w:val="1"/>
    <w:link w:val="25"/>
    <w:qFormat/>
    <w:uiPriority w:val="99"/>
    <w:pPr>
      <w:widowControl/>
      <w:spacing w:before="100" w:beforeAutospacing="1" w:afterAutospacing="1"/>
      <w:jc w:val="left"/>
    </w:pPr>
    <w:rPr>
      <w:rFonts w:ascii="宋体" w:hAnsi="宋体"/>
      <w:sz w:val="24"/>
      <w:szCs w:val="24"/>
    </w:rPr>
  </w:style>
  <w:style w:type="paragraph" w:styleId="15">
    <w:name w:val="annotation subject"/>
    <w:basedOn w:val="8"/>
    <w:next w:val="8"/>
    <w:link w:val="32"/>
    <w:semiHidden/>
    <w:unhideWhenUsed/>
    <w:qFormat/>
    <w:uiPriority w:val="99"/>
    <w:rPr>
      <w:b/>
      <w:bCs/>
    </w:r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9">
    <w:name w:val="FollowedHyperlink"/>
    <w:basedOn w:val="18"/>
    <w:semiHidden/>
    <w:unhideWhenUsed/>
    <w:qFormat/>
    <w:uiPriority w:val="99"/>
    <w:rPr>
      <w:color w:val="800080" w:themeColor="followedHyperlink"/>
      <w:u w:val="single"/>
    </w:rPr>
  </w:style>
  <w:style w:type="character" w:styleId="20">
    <w:name w:val="Hyperlink"/>
    <w:basedOn w:val="18"/>
    <w:unhideWhenUsed/>
    <w:qFormat/>
    <w:uiPriority w:val="99"/>
    <w:rPr>
      <w:color w:val="0000FF" w:themeColor="hyperlink"/>
      <w:u w:val="single"/>
    </w:rPr>
  </w:style>
  <w:style w:type="character" w:styleId="21">
    <w:name w:val="annotation reference"/>
    <w:basedOn w:val="18"/>
    <w:semiHidden/>
    <w:unhideWhenUsed/>
    <w:qFormat/>
    <w:uiPriority w:val="99"/>
    <w:rPr>
      <w:sz w:val="21"/>
      <w:szCs w:val="21"/>
    </w:rPr>
  </w:style>
  <w:style w:type="character" w:customStyle="1" w:styleId="22">
    <w:name w:val="页眉 Char"/>
    <w:basedOn w:val="18"/>
    <w:link w:val="13"/>
    <w:semiHidden/>
    <w:qFormat/>
    <w:uiPriority w:val="99"/>
    <w:rPr>
      <w:sz w:val="18"/>
      <w:szCs w:val="18"/>
    </w:rPr>
  </w:style>
  <w:style w:type="character" w:customStyle="1" w:styleId="23">
    <w:name w:val="页脚 Char"/>
    <w:basedOn w:val="18"/>
    <w:link w:val="12"/>
    <w:qFormat/>
    <w:uiPriority w:val="99"/>
    <w:rPr>
      <w:sz w:val="18"/>
      <w:szCs w:val="18"/>
    </w:rPr>
  </w:style>
  <w:style w:type="character" w:customStyle="1" w:styleId="24">
    <w:name w:val="批注框文本 Char"/>
    <w:basedOn w:val="18"/>
    <w:link w:val="11"/>
    <w:semiHidden/>
    <w:qFormat/>
    <w:uiPriority w:val="99"/>
    <w:rPr>
      <w:sz w:val="18"/>
      <w:szCs w:val="18"/>
    </w:rPr>
  </w:style>
  <w:style w:type="character" w:customStyle="1" w:styleId="25">
    <w:name w:val="普通(网站) Char"/>
    <w:link w:val="14"/>
    <w:qFormat/>
    <w:uiPriority w:val="99"/>
    <w:rPr>
      <w:rFonts w:ascii="宋体" w:hAnsi="宋体"/>
      <w:sz w:val="24"/>
      <w:szCs w:val="24"/>
    </w:rPr>
  </w:style>
  <w:style w:type="character" w:customStyle="1" w:styleId="26">
    <w:name w:val="标题 1 Char"/>
    <w:basedOn w:val="18"/>
    <w:link w:val="2"/>
    <w:qFormat/>
    <w:uiPriority w:val="0"/>
    <w:rPr>
      <w:rFonts w:ascii="Arial" w:hAnsi="Arial" w:eastAsia="宋体" w:cs="Times New Roman"/>
      <w:b/>
      <w:bCs/>
      <w:kern w:val="44"/>
      <w:sz w:val="44"/>
      <w:szCs w:val="44"/>
    </w:rPr>
  </w:style>
  <w:style w:type="paragraph" w:styleId="27">
    <w:name w:val="List Paragraph"/>
    <w:basedOn w:val="1"/>
    <w:qFormat/>
    <w:uiPriority w:val="34"/>
    <w:pPr>
      <w:ind w:firstLine="420" w:firstLineChars="200"/>
    </w:pPr>
  </w:style>
  <w:style w:type="character" w:customStyle="1" w:styleId="28">
    <w:name w:val="文档结构图 Char"/>
    <w:basedOn w:val="18"/>
    <w:link w:val="7"/>
    <w:semiHidden/>
    <w:qFormat/>
    <w:uiPriority w:val="99"/>
    <w:rPr>
      <w:rFonts w:ascii="宋体" w:eastAsia="宋体"/>
      <w:sz w:val="18"/>
      <w:szCs w:val="18"/>
    </w:rPr>
  </w:style>
  <w:style w:type="character" w:customStyle="1" w:styleId="29">
    <w:name w:val="标题 2 Char"/>
    <w:basedOn w:val="18"/>
    <w:link w:val="3"/>
    <w:semiHidden/>
    <w:qFormat/>
    <w:uiPriority w:val="9"/>
    <w:rPr>
      <w:rFonts w:asciiTheme="majorHAnsi" w:hAnsiTheme="majorHAnsi" w:eastAsiaTheme="majorEastAsia" w:cstheme="majorBidi"/>
      <w:b/>
      <w:bCs/>
      <w:sz w:val="32"/>
      <w:szCs w:val="32"/>
    </w:rPr>
  </w:style>
  <w:style w:type="character" w:customStyle="1" w:styleId="30">
    <w:name w:val="批注文字 Char"/>
    <w:basedOn w:val="18"/>
    <w:link w:val="8"/>
    <w:semiHidden/>
    <w:qFormat/>
    <w:uiPriority w:val="99"/>
  </w:style>
  <w:style w:type="character" w:customStyle="1" w:styleId="31">
    <w:name w:val="标题 3 Char"/>
    <w:qFormat/>
    <w:uiPriority w:val="0"/>
    <w:rPr>
      <w:rFonts w:ascii="黑体" w:eastAsia="黑体"/>
      <w:bCs/>
      <w:sz w:val="30"/>
    </w:rPr>
  </w:style>
  <w:style w:type="character" w:customStyle="1" w:styleId="32">
    <w:name w:val="批注主题 Char"/>
    <w:basedOn w:val="30"/>
    <w:link w:val="15"/>
    <w:semiHidden/>
    <w:qFormat/>
    <w:uiPriority w:val="99"/>
    <w:rPr>
      <w:b/>
      <w:bCs/>
      <w:kern w:val="2"/>
      <w:sz w:val="21"/>
      <w:szCs w:val="22"/>
    </w:rPr>
  </w:style>
  <w:style w:type="table" w:customStyle="1" w:styleId="33">
    <w:name w:val="网格型1"/>
    <w:basedOn w:val="16"/>
    <w:qFormat/>
    <w:uiPriority w:val="39"/>
    <w:pPr>
      <w:widowControl w:val="0"/>
      <w:jc w:val="both"/>
    </w:pPr>
    <w:rPr>
      <w:rFonts w:eastAsiaTheme="minorEastAsia"/>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1</Pages>
  <Words>6796</Words>
  <Characters>38743</Characters>
  <Lines>322</Lines>
  <Paragraphs>90</Paragraphs>
  <TotalTime>56</TotalTime>
  <ScaleCrop>false</ScaleCrop>
  <LinksUpToDate>false</LinksUpToDate>
  <CharactersWithSpaces>45449</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2021-03-03T00:56:00Z</dcterms:created>
  <dc:creator>win7-1</dc:creator>
  <cp:lastModifiedBy>210ZCPB</cp:lastModifiedBy>
  <cp:lastPrinted>2021-01-15T01:17:00Z</cp:lastPrinted>
  <dcterms:modified xsi:type="dcterms:W3CDTF">2024-05-09T03:42:17Z</dcterms:modified>
  <cp:revision>730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CFE91CA4ECE649769A50C56CCE24D2C7</vt:lpwstr>
  </property>
</Properties>
</file>